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بالنسبة لما تقدم عن سيدنا الحكيم قدس سره، عندي استدراكان قبل الشروع في الدرس الجديد، أذكرهما ونكتفي بهما هذا اليوم، ثم نشرع في الفصول إن شاء الله تعالى.</w:t>
      </w:r>
    </w:p>
    <w:p>
      <w:pPr>
        <w:bidi/>
        <w:jc w:val="right"/>
        <w:pStyle w:val="Heading2"/>
      </w:pPr>
      <w:r>
        <w:rPr>
          <w:rtl/>
          <w:b/>
        </w:rPr>
        <w:t xml:space="preserve">الاستدراك الأول: ضابطة الترجيح بين نقل الشيخ الكليني والشيخ الطوسي</w:t>
      </w:r>
    </w:p>
    <w:p>
      <w:pPr>
        <w:bidi/>
        <w:jc w:val="right"/>
      </w:pPr>
      <w:r>
        <w:rPr>
          <w:rtl/>
        </w:rPr>
        <w:t xml:space="preserve">ذكرنا سابقًا بأن السيد -أعلى الله مقامه الشريف- قد خالف مبناه في المقام؛ إذ رجح رواية الشيخ الطوسي -رضوان الله تعالى عليه- على رواية الشيخ الكليني، مع أنه ممن يلتزم بأضبطية الكليني على الطوسي. ولكن بعد التأمل في كلماته، خطر في الذهن أن السيد قدس سره إنما يلتزم بترجيح نقل الشيخ الكليني على الشيخ الطوسي في </w:t>
      </w:r>
      <w:r>
        <w:rPr>
          <w:rtl/>
          <w:b/>
        </w:rPr>
        <w:t xml:space="preserve">مورد المعارضة</w:t>
      </w:r>
      <w:r>
        <w:rPr>
          <w:rtl/>
        </w:rPr>
        <w:t xml:space="preserve">؛ أي إذا كان نقل الكليني معارضًا بنقل الشيخ الطوسي، وأما في صورة عدم المعارضة فلا وجه للترجيح.</w:t>
      </w:r>
    </w:p>
    <w:p>
      <w:pPr>
        <w:bidi/>
        <w:jc w:val="right"/>
      </w:pPr>
      <w:r>
        <w:rPr>
          <w:rtl/>
        </w:rPr>
        <w:t xml:space="preserve">وما نحن فيه لا تعارض فيه بين النقلين؛ فإن النسبة بينهما هي </w:t>
      </w:r>
      <w:r>
        <w:rPr>
          <w:rtl/>
          <w:b/>
        </w:rPr>
        <w:t xml:space="preserve">نسبة المثبتين</w:t>
      </w:r>
      <w:r>
        <w:rPr>
          <w:rtl/>
        </w:rPr>
        <w:t xml:space="preserve">، والمثبتان لا تعارض بينهما. فنقل الكليني: «لا تصلِّ إلا خلف من تثق بدينه» مثبت، والنقل الآخر -نقل الشيخ الطوسي-: «لا تصلِّ إلا خلف من تثق بدينه وأمانته» مثبت أيضًا، ولا تعارض بينهما بما هما مثبتان. وبالتالي، فلو قال الإمام صلوات الله وسلامه عليه: «لا تصلِّ إلا خلف من تثق بدينه»، نستفيد من ذلك أن من لك وثوق بدينه تجوز لك الصلاة خلفه.</w:t>
      </w:r>
    </w:p>
    <w:p>
      <w:pPr>
        <w:bidi/>
        <w:jc w:val="right"/>
      </w:pPr>
      <w:r>
        <w:rPr>
          <w:rtl/>
        </w:rPr>
        <w:t xml:space="preserve">وعندما جاء نقل الشيخ الطوسي قدس الله نفسه، زاد هذا المعنى تأكيدًا؛ فمن تثق بدينه وأمانته، أي أنه مؤتمن على دينه، فتثق بدينه وأمانته على دينه. فلم يزد عندنا ما يوجب المعارضة بين النقلين، فحينئذٍ لا نلزم بترجيح نقل الشيخ الكليني على نقل الشيخ الطوسي عليهما الرحمة. هذا الذي احتملته تساعد عليه بعض كلمات السيد الحكيم، ولكن البعض الآخر منها لعله لا يساعد عليه.</w:t>
      </w:r>
    </w:p>
    <w:p>
      <w:pPr>
        <w:bidi/>
        <w:jc w:val="right"/>
      </w:pPr>
      <w:r>
        <w:rPr>
          <w:rtl/>
        </w:rPr>
        <w:t xml:space="preserve">انظروا مثلًا إلى كلمته الأولى التي نقلتها، قال: «ولا ينبغي التأمل في تقديم نقل الكليني مع معارضته لنقل الشيخ»، فقيد ذلك بصورة المعارضة. نعم، في بعض كلماته الأخرى قال: «وكأنه لأجل ذلك استقر بناء الأصحاب على ترجيح رواية الكليني -رحمه الله- على رواية الشيخ عند اختلافهما مطلق الاختلاف»، سواء كانت هنالك معارضة بين النقلين أو لا. ولكن يمكن القول بأن كلامه الأول قرينة على مقصوده من الاختلاف الموجب للترجيح. هذا ما يرتبط بالاستدراك الأول.</w:t>
      </w:r>
    </w:p>
    <w:p>
      <w:pPr>
        <w:bidi/>
        <w:jc w:val="right"/>
        <w:pStyle w:val="Heading2"/>
      </w:pPr>
      <w:r>
        <w:rPr>
          <w:rtl/>
          <w:b/>
        </w:rPr>
        <w:t xml:space="preserve">الاستدراك الثاني: قرينة السؤال وعمومية الجواب</w:t>
      </w:r>
    </w:p>
    <w:p>
      <w:pPr>
        <w:bidi/>
        <w:jc w:val="right"/>
      </w:pPr>
      <w:r>
        <w:rPr>
          <w:rtl/>
        </w:rPr>
        <w:t xml:space="preserve">الاستدراك الثاني: عرضت بخدمتكم بأن قرينة </w:t>
      </w:r>
      <w:r>
        <w:rPr>
          <w:rtl/>
          <w:b/>
        </w:rPr>
        <w:t xml:space="preserve">الانصراف</w:t>
      </w:r>
      <w:r>
        <w:rPr>
          <w:rtl/>
        </w:rPr>
        <w:t xml:space="preserve"> التي تمسك بها السيد غير تامة، ولكن قرينة </w:t>
      </w:r>
      <w:r>
        <w:rPr>
          <w:rtl/>
          <w:b/>
        </w:rPr>
        <w:t xml:space="preserve">السؤال</w:t>
      </w:r>
      <w:r>
        <w:rPr>
          <w:rtl/>
        </w:rPr>
        <w:t xml:space="preserve"> عبرنا عنها بأنها قرينة محكمة. وهذا أيضًا مما حصل لي التأمل فيه؛ وذلك لأن قرينة السؤال غاية ما تقتضيه أن يكون الجواب رافعًا لتحيّر السائل، وأما هل تقتضي أن يكون الجواب مطابقًا للسؤال بنحو العموم والخصوص، فلا؛ فمن الممكن أن يكون السؤال عن الخاص والجواب بالعام، ولا إشكال في ذلك لأن السؤال يكون رافعًا لتحيّر السائل ويفيد أيضًا فائدة أخرى.</w:t>
      </w:r>
    </w:p>
    <w:p>
      <w:pPr>
        <w:bidi/>
        <w:jc w:val="right"/>
      </w:pPr>
      <w:r>
        <w:rPr>
          <w:rtl/>
        </w:rPr>
        <w:t xml:space="preserve">كما لو سأل شخصٌ شخصًا آخر: «هل فلان مثلًا فقيه؟»، فأجابه: «فلان عالم»، فإنه أجاب بأنه فقيه وزيادة، فـعلمه لا يختص بالفقه بل هو عالم في الفقه وفي غيره، بناءً على استفادة الإطلاق من هذا الجواب. كذلك في المقام أيضًا؛ نسلم بأن السؤال كان عن اختلاف الأصحاب في العقائديات (الأصول)، ولكن الإمام عليه السلام عندما أجاب وقال: «لا تصلِّ إلا خلف من تثق بدينه»، نظر إلى الأصول والفروع معًا ما دام العنوان يتسع لذلك.</w:t>
      </w:r>
    </w:p>
    <w:p>
      <w:pPr>
        <w:bidi/>
        <w:jc w:val="right"/>
      </w:pPr>
      <w:r>
        <w:rPr>
          <w:rtl/>
        </w:rPr>
        <w:t xml:space="preserve">وبعبارة أوضح لإيصال هذا المطلب: هذا نظير قاعدة أن </w:t>
      </w:r>
      <w:r>
        <w:rPr>
          <w:rtl/>
          <w:b/>
        </w:rPr>
        <w:t xml:space="preserve">«خصوص المورد لا يخصص الوارد»</w:t>
      </w:r>
      <w:r>
        <w:rPr>
          <w:rtl/>
        </w:rPr>
        <w:t xml:space="preserve">؛ فإذا كان الوارد عندنا عامًا فليكن المورد خاصًا، فهذا لا يؤثر على عموم الوارد. كذلك أيضًا، خصوصية السؤال لا تؤثر على عمومية الجواب ما دام الجواب يتسع للسؤال ويكفي لرفع التحيّر. وبالتالي، فهذه القرينة أيضًا أراها قرينة غير محكمة، فالاستدلال بالرواية لا مانع منه؛ إذ الانصراف غير تام وقرينة السؤال غير تامة، فالرواية تدل على أن </w:t>
      </w:r>
      <w:r>
        <w:rPr>
          <w:rtl/>
          <w:b/>
        </w:rPr>
        <w:t xml:space="preserve">الوثوق</w:t>
      </w:r>
      <w:r>
        <w:rPr>
          <w:rtl/>
        </w:rPr>
        <w:t xml:space="preserve"> طريق من طرق إثبات العدالة.</w:t>
      </w:r>
    </w:p>
    <w:p>
      <w:pPr>
        <w:bidi/>
        <w:jc w:val="right"/>
      </w:pPr>
      <w:r>
        <w:rPr>
          <w:rtl/>
        </w:rPr>
        <w:t xml:space="preserve">هذا ما يرتبط بالمستدركين، والحمد لله رب العالمين.</w:t>
      </w:r>
    </w:p>
  </w:body>
</w:document>
</file>