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بسم الله الرحمن الرحيم</w:t>
      </w:r>
    </w:p>
    <w:p w14:paraId="141C04A3"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والصلاة والسلام على أشرف الأنبياء والمرسلين، محمد وآله الطيبين الطاهرين</w:t>
      </w:r>
    </w:p>
    <w:p w14:paraId="73DD8BCF" w14:textId="15496875" w:rsidR="00153FDD" w:rsidRPr="00EF47A8" w:rsidRDefault="00AC2737" w:rsidP="00153FDD">
      <w:pPr>
        <w:pStyle w:val="a0"/>
        <w:bidi/>
        <w:spacing w:after="240" w:line="216" w:lineRule="auto"/>
        <w:jc w:val="center"/>
        <w:rPr>
          <w:rFonts w:ascii="mylotus" w:hAnsi="mylotus"/>
          <w:sz w:val="34"/>
          <w:szCs w:val="34"/>
          <w:rtl/>
        </w:rPr>
      </w:pPr>
      <w:r w:rsidRPr="00EF47A8">
        <w:rPr>
          <w:rFonts w:ascii="mylotus" w:hAnsi="mylotus"/>
          <w:b/>
          <w:bCs/>
          <w:sz w:val="34"/>
          <w:szCs w:val="34"/>
          <w:rtl/>
        </w:rPr>
        <w:t>واللعن الدائم على أعدائهم أجمعين إلى قيام يوم الدين</w:t>
      </w:r>
      <w:r w:rsidR="002339F1" w:rsidRPr="00EF47A8">
        <w:rPr>
          <w:rFonts w:ascii="mylotus" w:hAnsi="mylotus"/>
          <w:b/>
          <w:bCs/>
          <w:sz w:val="34"/>
          <w:szCs w:val="34"/>
          <w:rtl/>
        </w:rPr>
        <w:t xml:space="preserve"> </w:t>
      </w:r>
    </w:p>
    <w:p w14:paraId="6798FF87" w14:textId="2CBA6F6E" w:rsidR="008A72C9" w:rsidRDefault="008A72C9" w:rsidP="00A97E8F">
      <w:pPr>
        <w:pStyle w:val="a0"/>
        <w:bidi/>
        <w:rPr>
          <w:rtl/>
        </w:rPr>
      </w:pPr>
      <w:r w:rsidRPr="00E13660">
        <w:rPr>
          <w:b/>
          <w:bCs/>
          <w:rtl/>
          <w:lang w:bidi="ar-BH"/>
        </w:rPr>
        <w:t>والحاصل</w:t>
      </w:r>
      <w:r w:rsidR="00382085">
        <w:rPr>
          <w:rFonts w:hint="cs"/>
          <w:b/>
          <w:bCs/>
          <w:rtl/>
          <w:lang w:bidi="ar-BH"/>
        </w:rPr>
        <w:t>:</w:t>
      </w:r>
      <w:r>
        <w:rPr>
          <w:rtl/>
          <w:lang w:bidi="ar-BH"/>
        </w:rPr>
        <w:t xml:space="preserve"> أن التعامل </w:t>
      </w:r>
      <w:proofErr w:type="spellStart"/>
      <w:r>
        <w:rPr>
          <w:rtl/>
          <w:lang w:bidi="ar-BH"/>
        </w:rPr>
        <w:t>بالبتكوين</w:t>
      </w:r>
      <w:proofErr w:type="spellEnd"/>
      <w:r>
        <w:rPr>
          <w:rtl/>
          <w:lang w:bidi="ar-BH"/>
        </w:rPr>
        <w:t xml:space="preserve"> يشتمل على فعلين</w:t>
      </w:r>
      <w:r>
        <w:rPr>
          <w:rFonts w:hint="cs"/>
          <w:rtl/>
        </w:rPr>
        <w:t xml:space="preserve">: </w:t>
      </w:r>
      <w:r>
        <w:rPr>
          <w:rtl/>
          <w:lang w:bidi="ar-BH"/>
        </w:rPr>
        <w:t xml:space="preserve">استثمار </w:t>
      </w:r>
      <w:proofErr w:type="spellStart"/>
      <w:r>
        <w:rPr>
          <w:rtl/>
          <w:lang w:bidi="ar-BH"/>
        </w:rPr>
        <w:t>البتكوين</w:t>
      </w:r>
      <w:proofErr w:type="spellEnd"/>
      <w:r>
        <w:rPr>
          <w:rtl/>
          <w:lang w:bidi="ar-BH"/>
        </w:rPr>
        <w:t xml:space="preserve"> في المبادلة أو المضاربة</w:t>
      </w:r>
      <w:r>
        <w:rPr>
          <w:rFonts w:hint="cs"/>
          <w:rtl/>
        </w:rPr>
        <w:t xml:space="preserve">؛ </w:t>
      </w:r>
      <w:r>
        <w:rPr>
          <w:rtl/>
          <w:lang w:bidi="ar-BH"/>
        </w:rPr>
        <w:t>التعدين</w:t>
      </w:r>
      <w:r>
        <w:rPr>
          <w:rFonts w:hint="cs"/>
          <w:rtl/>
        </w:rPr>
        <w:t>.</w:t>
      </w:r>
      <w:r w:rsidR="00A97E8F">
        <w:rPr>
          <w:rFonts w:hint="cs"/>
          <w:rtl/>
        </w:rPr>
        <w:t xml:space="preserve"> </w:t>
      </w:r>
      <w:r>
        <w:rPr>
          <w:rtl/>
          <w:lang w:bidi="ar-BH"/>
        </w:rPr>
        <w:t>و</w:t>
      </w:r>
      <w:r>
        <w:rPr>
          <w:rFonts w:hint="cs"/>
          <w:rtl/>
        </w:rPr>
        <w:t>قد تبيّن عدم صدق القمار على الأول.</w:t>
      </w:r>
      <w:r>
        <w:rPr>
          <w:rtl/>
          <w:lang w:bidi="ar-BH"/>
        </w:rPr>
        <w:t xml:space="preserve"> وأما الثاني فقد يدعى صدق القمار</w:t>
      </w:r>
      <w:r>
        <w:rPr>
          <w:rFonts w:hint="cs"/>
          <w:rtl/>
        </w:rPr>
        <w:t>؛</w:t>
      </w:r>
      <w:r>
        <w:rPr>
          <w:rtl/>
          <w:lang w:bidi="ar-BH"/>
        </w:rPr>
        <w:t xml:space="preserve"> عليه لتضمنه نوعا من المنافسة والتسابق بغرض الاسترباح، حيث إن ك</w:t>
      </w:r>
      <w:r w:rsidR="00154286">
        <w:rPr>
          <w:rFonts w:hint="cs"/>
          <w:rtl/>
          <w:lang w:bidi="ar-BH"/>
        </w:rPr>
        <w:t>لّ</w:t>
      </w:r>
      <w:r>
        <w:rPr>
          <w:rtl/>
          <w:lang w:bidi="ar-BH"/>
        </w:rPr>
        <w:t xml:space="preserve"> معدّنٍ غرضه سبق الآخر بالوصول إلى حل الشفرة من أجل تحديد الكتلة التي تجمع عدة من المعاملات المقترحة بهدف الحصول على ربح وراء ذلك. ولكنّ صدق القمار على هذه المنافسة في عملية التعدين ليس تاما</w:t>
      </w:r>
      <w:r w:rsidR="00153FDD">
        <w:rPr>
          <w:rFonts w:hint="cs"/>
          <w:rtl/>
          <w:lang w:bidi="ar-BH"/>
        </w:rPr>
        <w:t>ً</w:t>
      </w:r>
      <w:r>
        <w:rPr>
          <w:rtl/>
          <w:lang w:bidi="ar-BH"/>
        </w:rPr>
        <w:t>؛ وذلك لتقوّم التعدين بعنصرين يمنعان شمول دليل حرمة القمار له:</w:t>
      </w:r>
    </w:p>
    <w:p w14:paraId="738FC78A" w14:textId="77777777" w:rsidR="008A72C9" w:rsidRDefault="008A72C9" w:rsidP="008A72C9">
      <w:pPr>
        <w:pStyle w:val="a0"/>
        <w:bidi/>
        <w:rPr>
          <w:rtl/>
        </w:rPr>
      </w:pPr>
      <w:r>
        <w:rPr>
          <w:rtl/>
          <w:lang w:bidi="ar-BH"/>
        </w:rPr>
        <w:t>1- أن التعدين عملية رياضية حسابية، وليست عملا خارجيا، وقد سبق أن المستفاد من أدلة حرمة القمار بمعونة اللغة والعرف تقوّم القمار بالمغالبة في عمل خارجي.</w:t>
      </w:r>
    </w:p>
    <w:p w14:paraId="6DE6EFBE" w14:textId="07518A15" w:rsidR="008A72C9" w:rsidRDefault="008A72C9" w:rsidP="008A72C9">
      <w:pPr>
        <w:pStyle w:val="a0"/>
        <w:bidi/>
        <w:rPr>
          <w:rtl/>
        </w:rPr>
      </w:pPr>
      <w:r>
        <w:rPr>
          <w:rtl/>
          <w:lang w:bidi="ar-BH"/>
        </w:rPr>
        <w:t xml:space="preserve">2- أن التعدين عمل متمم لنفوذ المعاملة على </w:t>
      </w:r>
      <w:proofErr w:type="spellStart"/>
      <w:r>
        <w:rPr>
          <w:rtl/>
          <w:lang w:bidi="ar-BH"/>
        </w:rPr>
        <w:t>البتكوين</w:t>
      </w:r>
      <w:proofErr w:type="spellEnd"/>
      <w:r>
        <w:rPr>
          <w:rtl/>
          <w:lang w:bidi="ar-BH"/>
        </w:rPr>
        <w:t>، لا</w:t>
      </w:r>
      <w:r>
        <w:rPr>
          <w:rFonts w:hint="cs"/>
          <w:rtl/>
        </w:rPr>
        <w:t xml:space="preserve"> أنه </w:t>
      </w:r>
      <w:r>
        <w:rPr>
          <w:rtl/>
          <w:lang w:bidi="ar-BH"/>
        </w:rPr>
        <w:t xml:space="preserve">معاملة مستقلة، وإن كان له أجره، وحيث إن التعامل </w:t>
      </w:r>
      <w:proofErr w:type="spellStart"/>
      <w:r>
        <w:rPr>
          <w:rtl/>
          <w:lang w:bidi="ar-BH"/>
        </w:rPr>
        <w:t>بالبتكوين</w:t>
      </w:r>
      <w:proofErr w:type="spellEnd"/>
      <w:r>
        <w:rPr>
          <w:rtl/>
          <w:lang w:bidi="ar-BH"/>
        </w:rPr>
        <w:t xml:space="preserve"> نفسه أمر حلال -كما سبق بيانه- فلا مقتضي لحرمة التعدين من حيث المعاملة </w:t>
      </w:r>
      <w:proofErr w:type="spellStart"/>
      <w:r>
        <w:rPr>
          <w:rtl/>
          <w:lang w:bidi="ar-BH"/>
        </w:rPr>
        <w:t>بالبتكوين</w:t>
      </w:r>
      <w:proofErr w:type="spellEnd"/>
      <w:r>
        <w:rPr>
          <w:rFonts w:hint="cs"/>
          <w:rtl/>
        </w:rPr>
        <w:t>.</w:t>
      </w:r>
      <w:r>
        <w:rPr>
          <w:rtl/>
          <w:lang w:bidi="ar-BH"/>
        </w:rPr>
        <w:t xml:space="preserve"> مضافا إلى أن القمار متقوم بالمراهنة لا مطلقا</w:t>
      </w:r>
      <w:r w:rsidR="00153FDD">
        <w:rPr>
          <w:rFonts w:hint="cs"/>
          <w:rtl/>
          <w:lang w:bidi="ar-BH"/>
        </w:rPr>
        <w:t>ً</w:t>
      </w:r>
      <w:r>
        <w:rPr>
          <w:rtl/>
          <w:lang w:bidi="ar-BH"/>
        </w:rPr>
        <w:t xml:space="preserve">، </w:t>
      </w:r>
      <w:r>
        <w:rPr>
          <w:rFonts w:hint="cs"/>
          <w:rtl/>
        </w:rPr>
        <w:t>و</w:t>
      </w:r>
      <w:r>
        <w:rPr>
          <w:rtl/>
          <w:lang w:bidi="ar-BH"/>
        </w:rPr>
        <w:t>عملية التعدين -وإن كان لها أجر- لا تشتمل على المراهنة كي تكون مندرجة تحت عنوان القمار المحرم.</w:t>
      </w:r>
    </w:p>
    <w:p w14:paraId="4F883A8B" w14:textId="77777777" w:rsidR="008A72C9" w:rsidRDefault="008A72C9" w:rsidP="008A72C9">
      <w:pPr>
        <w:pStyle w:val="a0"/>
        <w:bidi/>
        <w:rPr>
          <w:rtl/>
        </w:rPr>
      </w:pPr>
      <w:r>
        <w:rPr>
          <w:rtl/>
          <w:lang w:bidi="ar-BH"/>
        </w:rPr>
        <w:t>هذا تمام الكلام حول اندراج المعاملة في القمار</w:t>
      </w:r>
      <w:r>
        <w:rPr>
          <w:rFonts w:hint="cs"/>
          <w:rtl/>
        </w:rPr>
        <w:t>،</w:t>
      </w:r>
      <w:r>
        <w:rPr>
          <w:rtl/>
          <w:lang w:bidi="ar-BH"/>
        </w:rPr>
        <w:t xml:space="preserve"> وقد اتضح منعه.</w:t>
      </w:r>
    </w:p>
    <w:p w14:paraId="383ABD57" w14:textId="0F70ABC7" w:rsidR="008A72C9" w:rsidRDefault="008A72C9" w:rsidP="00153FDD">
      <w:pPr>
        <w:pStyle w:val="a0"/>
        <w:bidi/>
        <w:rPr>
          <w:rtl/>
        </w:rPr>
      </w:pPr>
      <w:r w:rsidRPr="00A17844">
        <w:rPr>
          <w:rFonts w:hint="cs"/>
          <w:b/>
          <w:bCs/>
          <w:rtl/>
        </w:rPr>
        <w:t xml:space="preserve">وأما </w:t>
      </w:r>
      <w:r w:rsidRPr="00A17844">
        <w:rPr>
          <w:b/>
          <w:bCs/>
          <w:rtl/>
          <w:lang w:bidi="ar-BH"/>
        </w:rPr>
        <w:t>المحتمل الثاني:</w:t>
      </w:r>
      <w:r>
        <w:rPr>
          <w:rtl/>
          <w:lang w:bidi="ar-BH"/>
        </w:rPr>
        <w:t xml:space="preserve"> </w:t>
      </w:r>
      <w:r w:rsidR="00153FDD">
        <w:rPr>
          <w:rFonts w:hint="cs"/>
          <w:rtl/>
        </w:rPr>
        <w:t>أ</w:t>
      </w:r>
      <w:r>
        <w:rPr>
          <w:rtl/>
          <w:lang w:bidi="ar-BH"/>
        </w:rPr>
        <w:t xml:space="preserve">ن </w:t>
      </w:r>
      <w:proofErr w:type="spellStart"/>
      <w:r>
        <w:rPr>
          <w:rtl/>
          <w:lang w:bidi="ar-BH"/>
        </w:rPr>
        <w:t>البتكوين</w:t>
      </w:r>
      <w:proofErr w:type="spellEnd"/>
      <w:r>
        <w:rPr>
          <w:rtl/>
          <w:lang w:bidi="ar-BH"/>
        </w:rPr>
        <w:t xml:space="preserve"> وإن لم يكن قمارا</w:t>
      </w:r>
      <w:r w:rsidR="00153FDD">
        <w:rPr>
          <w:rFonts w:hint="cs"/>
          <w:rtl/>
          <w:lang w:bidi="ar-BH"/>
        </w:rPr>
        <w:t>ً</w:t>
      </w:r>
      <w:r>
        <w:rPr>
          <w:rtl/>
          <w:lang w:bidi="ar-BH"/>
        </w:rPr>
        <w:t xml:space="preserve"> إلا أن الحرمة تعمه</w:t>
      </w:r>
      <w:r>
        <w:rPr>
          <w:rFonts w:hint="cs"/>
          <w:rtl/>
        </w:rPr>
        <w:t>؛</w:t>
      </w:r>
      <w:r>
        <w:rPr>
          <w:rtl/>
          <w:lang w:bidi="ar-BH"/>
        </w:rPr>
        <w:t xml:space="preserve"> إما لأن موضوع الحرمة </w:t>
      </w:r>
      <w:r>
        <w:rPr>
          <w:rFonts w:hint="cs"/>
          <w:rtl/>
        </w:rPr>
        <w:t xml:space="preserve">لا يختص </w:t>
      </w:r>
      <w:r>
        <w:rPr>
          <w:rtl/>
          <w:lang w:bidi="ar-BH"/>
        </w:rPr>
        <w:t xml:space="preserve">بالقمار، أو لأن الملاك الذي تدور مداره الحرمة هو المخاطرة المالية. فمتى كانت المعاملة ذات </w:t>
      </w:r>
      <w:proofErr w:type="spellStart"/>
      <w:r>
        <w:rPr>
          <w:rtl/>
          <w:lang w:bidi="ar-BH"/>
        </w:rPr>
        <w:t>معرضية</w:t>
      </w:r>
      <w:proofErr w:type="spellEnd"/>
      <w:r>
        <w:rPr>
          <w:rtl/>
          <w:lang w:bidi="ar-BH"/>
        </w:rPr>
        <w:t xml:space="preserve"> للمخاطرة المالية كانت مشمولة لأدلة حرمة القمار، وإن لم تكن قمارًا. والمدعى</w:t>
      </w:r>
      <w:r>
        <w:rPr>
          <w:rFonts w:hint="cs"/>
          <w:rtl/>
        </w:rPr>
        <w:t xml:space="preserve"> هو </w:t>
      </w:r>
      <w:r>
        <w:rPr>
          <w:rtl/>
          <w:lang w:bidi="ar-BH"/>
        </w:rPr>
        <w:t xml:space="preserve">أن التعامل </w:t>
      </w:r>
      <w:proofErr w:type="spellStart"/>
      <w:r>
        <w:rPr>
          <w:rtl/>
          <w:lang w:bidi="ar-BH"/>
        </w:rPr>
        <w:t>بالبتكوين</w:t>
      </w:r>
      <w:proofErr w:type="spellEnd"/>
      <w:r>
        <w:rPr>
          <w:rtl/>
          <w:lang w:bidi="ar-BH"/>
        </w:rPr>
        <w:t xml:space="preserve"> ذو </w:t>
      </w:r>
      <w:proofErr w:type="spellStart"/>
      <w:r>
        <w:rPr>
          <w:rtl/>
          <w:lang w:bidi="ar-BH"/>
        </w:rPr>
        <w:t>معرضية</w:t>
      </w:r>
      <w:proofErr w:type="spellEnd"/>
      <w:r>
        <w:rPr>
          <w:rtl/>
          <w:lang w:bidi="ar-BH"/>
        </w:rPr>
        <w:t xml:space="preserve"> للمخاطرة المالية.</w:t>
      </w:r>
    </w:p>
    <w:p w14:paraId="407E7A16" w14:textId="77777777" w:rsidR="008A72C9" w:rsidRPr="006248DE" w:rsidRDefault="008A72C9" w:rsidP="008A72C9">
      <w:pPr>
        <w:pStyle w:val="a0"/>
        <w:bidi/>
        <w:rPr>
          <w:b/>
          <w:bCs/>
          <w:rtl/>
        </w:rPr>
      </w:pPr>
      <w:r w:rsidRPr="006248DE">
        <w:rPr>
          <w:b/>
          <w:bCs/>
          <w:rtl/>
          <w:lang w:bidi="ar-BH"/>
        </w:rPr>
        <w:t>والبحث هنا في أمور ثلاثة:</w:t>
      </w:r>
    </w:p>
    <w:p w14:paraId="4F1E82C5" w14:textId="77777777" w:rsidR="008A72C9" w:rsidRDefault="008A72C9" w:rsidP="008A72C9">
      <w:pPr>
        <w:pStyle w:val="a0"/>
        <w:bidi/>
        <w:rPr>
          <w:rtl/>
        </w:rPr>
      </w:pPr>
      <w:r w:rsidRPr="006248DE">
        <w:rPr>
          <w:b/>
          <w:bCs/>
          <w:rtl/>
          <w:lang w:bidi="ar-BH"/>
        </w:rPr>
        <w:t>الأمر الأول:</w:t>
      </w:r>
      <w:r>
        <w:rPr>
          <w:rtl/>
          <w:lang w:bidi="ar-BH"/>
        </w:rPr>
        <w:t xml:space="preserve"> إن محل البحث في الحرمة الوضعية</w:t>
      </w:r>
      <w:r>
        <w:rPr>
          <w:rFonts w:hint="cs"/>
          <w:rtl/>
        </w:rPr>
        <w:t xml:space="preserve"> -</w:t>
      </w:r>
      <w:r>
        <w:rPr>
          <w:rtl/>
          <w:lang w:bidi="ar-BH"/>
        </w:rPr>
        <w:t xml:space="preserve">أي بطلان المعاملة </w:t>
      </w:r>
      <w:proofErr w:type="spellStart"/>
      <w:r>
        <w:rPr>
          <w:rtl/>
          <w:lang w:bidi="ar-BH"/>
        </w:rPr>
        <w:t>بالبتكوين</w:t>
      </w:r>
      <w:proofErr w:type="spellEnd"/>
      <w:r>
        <w:rPr>
          <w:rFonts w:hint="cs"/>
          <w:rtl/>
        </w:rPr>
        <w:t xml:space="preserve">-، </w:t>
      </w:r>
      <w:r>
        <w:rPr>
          <w:rtl/>
          <w:lang w:bidi="ar-BH"/>
        </w:rPr>
        <w:t xml:space="preserve">وإثبات ذلك بأحد وجهين: </w:t>
      </w:r>
    </w:p>
    <w:p w14:paraId="608BA52B" w14:textId="77777777" w:rsidR="008A72C9" w:rsidRDefault="008A72C9" w:rsidP="008A72C9">
      <w:pPr>
        <w:pStyle w:val="a0"/>
        <w:bidi/>
        <w:rPr>
          <w:rtl/>
        </w:rPr>
      </w:pPr>
      <w:r>
        <w:rPr>
          <w:rtl/>
          <w:lang w:bidi="ar-BH"/>
        </w:rPr>
        <w:t>1- أن يدعى أن سياق أدلة حرمة القمار ظاهر في الإرشاد إلى الفساد وبطلان المعاملة.</w:t>
      </w:r>
    </w:p>
    <w:p w14:paraId="684C4826" w14:textId="0D3A5070" w:rsidR="008A72C9" w:rsidRDefault="008A72C9" w:rsidP="008A72C9">
      <w:pPr>
        <w:pStyle w:val="a0"/>
        <w:bidi/>
        <w:rPr>
          <w:rtl/>
        </w:rPr>
      </w:pPr>
      <w:r>
        <w:rPr>
          <w:rtl/>
          <w:lang w:bidi="ar-BH"/>
        </w:rPr>
        <w:lastRenderedPageBreak/>
        <w:t xml:space="preserve">2- أن يقال </w:t>
      </w:r>
      <w:r w:rsidR="008943C4">
        <w:rPr>
          <w:rFonts w:hint="cs"/>
          <w:rtl/>
        </w:rPr>
        <w:t xml:space="preserve">بأن </w:t>
      </w:r>
      <w:r>
        <w:rPr>
          <w:rtl/>
          <w:lang w:bidi="ar-BH"/>
        </w:rPr>
        <w:t xml:space="preserve">الروايات الدالة على تحريم القمار وإن كانت ظاهرة في الحكم التكليفي، إلا أن المدلول </w:t>
      </w:r>
      <w:proofErr w:type="spellStart"/>
      <w:r>
        <w:rPr>
          <w:rtl/>
          <w:lang w:bidi="ar-BH"/>
        </w:rPr>
        <w:t>الإلتزامي</w:t>
      </w:r>
      <w:proofErr w:type="spellEnd"/>
      <w:r>
        <w:rPr>
          <w:rtl/>
          <w:lang w:bidi="ar-BH"/>
        </w:rPr>
        <w:t xml:space="preserve"> لها هو فساد المعاملة. وبيان</w:t>
      </w:r>
      <w:r>
        <w:rPr>
          <w:rFonts w:hint="cs"/>
          <w:rtl/>
        </w:rPr>
        <w:t>ه:</w:t>
      </w:r>
      <w:r>
        <w:rPr>
          <w:rtl/>
          <w:lang w:bidi="ar-BH"/>
        </w:rPr>
        <w:t xml:space="preserve"> أن هناك فرقًا بين تعلّق النهي بعنوان عام -كالنهي عن الغش والاحتكار- وتعلقه بالمعاملة بعنوانها -كالنهي عن بيع الميتة، أو الخمر-، فإن كان متعلق النهي عنوانا عاما فلا دلالة فيه على الفساد؛ لأن الغش قد يكون في البيع وقد يكون في غيره، وليس مقوما لعملية البيع، وبالتالي فالنهي عن الغش مثلا لا ظهور فيه في أكثر من الحرمة التكليفية. وإن كان متعلق النهي هو المعاملة بعنوانها كالنهي عن بيع الميتة مثلا، والقمار -لأن القمار في النظر العرفي من المكاسب-، فالنهي عنه بعنوانه نهي عن المعاملة بعنوانها</w:t>
      </w:r>
      <w:r>
        <w:rPr>
          <w:rFonts w:hint="cs"/>
          <w:rtl/>
        </w:rPr>
        <w:t>.</w:t>
      </w:r>
      <w:r>
        <w:rPr>
          <w:rtl/>
          <w:lang w:bidi="ar-BH"/>
        </w:rPr>
        <w:t xml:space="preserve"> </w:t>
      </w:r>
      <w:r>
        <w:rPr>
          <w:rFonts w:hint="cs"/>
          <w:rtl/>
        </w:rPr>
        <w:t>وعليه؛</w:t>
      </w:r>
      <w:r>
        <w:rPr>
          <w:rtl/>
          <w:lang w:bidi="ar-BH"/>
        </w:rPr>
        <w:t xml:space="preserve"> فإن النهي التكليفي عن المعاملة وإن لم يستلزم الفساد عقلا -</w:t>
      </w:r>
      <w:r>
        <w:rPr>
          <w:rFonts w:hint="cs"/>
          <w:rtl/>
        </w:rPr>
        <w:t xml:space="preserve">إذ </w:t>
      </w:r>
      <w:r>
        <w:rPr>
          <w:rtl/>
          <w:lang w:bidi="ar-BH"/>
        </w:rPr>
        <w:t>لعل المعاملة في نفسها مبغوضة شرعا وإن لم تكن باطلة- إلا أن العرف يستفيد من سياق</w:t>
      </w:r>
      <w:r w:rsidR="00153FDD">
        <w:rPr>
          <w:rtl/>
          <w:lang w:bidi="ar-BH"/>
        </w:rPr>
        <w:t xml:space="preserve"> </w:t>
      </w:r>
      <w:r>
        <w:rPr>
          <w:rtl/>
          <w:lang w:bidi="ar-BH"/>
        </w:rPr>
        <w:t>النهي عن القمار النظر لترتب الأثر، فعندما ينهى عن القمار فهو يريد أن يسد</w:t>
      </w:r>
      <w:r w:rsidR="008943C4">
        <w:rPr>
          <w:rFonts w:hint="cs"/>
          <w:rtl/>
          <w:lang w:bidi="ar-BH"/>
        </w:rPr>
        <w:t>َّ</w:t>
      </w:r>
      <w:r>
        <w:rPr>
          <w:rtl/>
          <w:lang w:bidi="ar-BH"/>
        </w:rPr>
        <w:t xml:space="preserve"> باب الآثار لهذه المعاملة، فلو كانت المعاملة عند الشارع نافذة وليست باطلة للزم التنبيه على ذلك؛ لأن العرف يفهم من نهيه أن المعاملة لاغية، فلو كانت المعاملة نافذة للزم التنبيه على ذلك، وحيث لم ينبّه -مع أنه في مقام البيان والقدرة على التنبيه- فمقتضى الإطلاق المقامي إقرار ما يفهمه العرف</w:t>
      </w:r>
      <w:r>
        <w:rPr>
          <w:rFonts w:hint="cs"/>
          <w:rtl/>
        </w:rPr>
        <w:t>.</w:t>
      </w:r>
      <w:r>
        <w:rPr>
          <w:rtl/>
          <w:lang w:bidi="ar-BH"/>
        </w:rPr>
        <w:t xml:space="preserve"> </w:t>
      </w:r>
    </w:p>
    <w:p w14:paraId="5178B85D" w14:textId="7AA74C59" w:rsidR="008A72C9" w:rsidRDefault="008A72C9" w:rsidP="008A72C9">
      <w:pPr>
        <w:pStyle w:val="a0"/>
        <w:bidi/>
        <w:rPr>
          <w:rtl/>
        </w:rPr>
      </w:pPr>
      <w:r>
        <w:rPr>
          <w:rtl/>
          <w:lang w:bidi="ar-BH"/>
        </w:rPr>
        <w:t xml:space="preserve">وهذا ما قرره السيد الحكيم السبط -قده- في الاستدلال على بطلان المعاملة على القمار </w:t>
      </w:r>
      <w:r>
        <w:rPr>
          <w:rFonts w:hint="cs"/>
          <w:rtl/>
        </w:rPr>
        <w:t xml:space="preserve">في </w:t>
      </w:r>
      <w:r>
        <w:rPr>
          <w:rtl/>
          <w:lang w:bidi="ar-BH"/>
        </w:rPr>
        <w:t>كتاب الإجارة</w:t>
      </w:r>
      <w:r>
        <w:rPr>
          <w:vertAlign w:val="superscript"/>
        </w:rPr>
        <w:t>)</w:t>
      </w:r>
      <w:r>
        <w:rPr>
          <w:rStyle w:val="ac"/>
          <w:rtl/>
        </w:rPr>
        <w:footnoteReference w:id="1"/>
      </w:r>
      <w:r>
        <w:rPr>
          <w:rFonts w:hint="cs"/>
          <w:vertAlign w:val="superscript"/>
          <w:rtl/>
        </w:rPr>
        <w:t>)</w:t>
      </w:r>
      <w:r>
        <w:rPr>
          <w:rtl/>
          <w:lang w:bidi="ar-BH"/>
        </w:rPr>
        <w:t xml:space="preserve">، حيث قال: </w:t>
      </w:r>
      <w:r>
        <w:rPr>
          <w:rFonts w:hint="cs"/>
          <w:rtl/>
        </w:rPr>
        <w:t>"</w:t>
      </w:r>
      <w:r>
        <w:rPr>
          <w:rtl/>
          <w:lang w:bidi="ar-BH"/>
        </w:rPr>
        <w:t>إن المنصرف من النهي عن القمار والميسر عدم ترتب الأثر عليهما، لأن النهي التكليفي عن المعاملة وإن لم يستلزم الفساد [عقلا] إلا أن الاهتمام بأثر المعاملة يستلزم استفادة عدم ترتبه تبعا بحيث يحتاج ترتب الأثر مع النهي إلى الاستدراك والتنبيه</w:t>
      </w:r>
      <w:r w:rsidR="00F21E37">
        <w:rPr>
          <w:rFonts w:cs="Cambria" w:hint="cs"/>
          <w:rtl/>
          <w:lang w:bidi="ar-BH"/>
        </w:rPr>
        <w:t>"</w:t>
      </w:r>
      <w:r>
        <w:rPr>
          <w:rtl/>
          <w:lang w:bidi="ar-BH"/>
        </w:rPr>
        <w:t>.</w:t>
      </w:r>
    </w:p>
    <w:p w14:paraId="1F45AA78" w14:textId="25D0CEF8" w:rsidR="008A72C9" w:rsidRDefault="00F21E37" w:rsidP="008A72C9">
      <w:pPr>
        <w:pStyle w:val="a0"/>
        <w:bidi/>
        <w:rPr>
          <w:rtl/>
        </w:rPr>
      </w:pPr>
      <w:r>
        <w:rPr>
          <w:rFonts w:hint="cs"/>
          <w:rtl/>
          <w:lang w:bidi="ar-BH"/>
        </w:rPr>
        <w:t>إ</w:t>
      </w:r>
      <w:r w:rsidR="008A72C9">
        <w:rPr>
          <w:rtl/>
          <w:lang w:bidi="ar-BH"/>
        </w:rPr>
        <w:t>لا أن الصغرى ممنوعة</w:t>
      </w:r>
      <w:r w:rsidR="006248DE">
        <w:rPr>
          <w:rFonts w:hint="cs"/>
          <w:rtl/>
          <w:lang w:bidi="ar-BH"/>
        </w:rPr>
        <w:t>؛</w:t>
      </w:r>
      <w:r w:rsidR="008A72C9">
        <w:rPr>
          <w:rtl/>
          <w:lang w:bidi="ar-BH"/>
        </w:rPr>
        <w:t xml:space="preserve"> إذ لا</w:t>
      </w:r>
      <w:r w:rsidR="008A72C9">
        <w:rPr>
          <w:rFonts w:hint="cs"/>
          <w:rtl/>
        </w:rPr>
        <w:t xml:space="preserve"> </w:t>
      </w:r>
      <w:r w:rsidR="008A72C9">
        <w:rPr>
          <w:rtl/>
          <w:lang w:bidi="ar-BH"/>
        </w:rPr>
        <w:t>ظهور في سياق الأدلة الناهية عن القمار في النظر لترتب الأثر كي يكون المنصرف من النهي عن موضوعها وهو المعاملة إلغاء الأثر. وحيث إن المعاملات المحرمة على نوعين: باطلة ونافذة، فانصراف السياق للإلغاء بدوي لا</w:t>
      </w:r>
      <w:r w:rsidR="008A72C9">
        <w:rPr>
          <w:rFonts w:hint="cs"/>
          <w:rtl/>
        </w:rPr>
        <w:t xml:space="preserve"> </w:t>
      </w:r>
      <w:r w:rsidR="008A72C9">
        <w:rPr>
          <w:rtl/>
          <w:lang w:bidi="ar-BH"/>
        </w:rPr>
        <w:t xml:space="preserve">قيمة له عرفا كي يتفرع عن ذلك أن عدم تنبيه المشرع على خطأ العرف إقرار بثبوت الحرمة الوضعية. </w:t>
      </w:r>
    </w:p>
    <w:p w14:paraId="4EA97989" w14:textId="05BD1C73" w:rsidR="008A72C9" w:rsidRDefault="008A72C9" w:rsidP="008A72C9">
      <w:pPr>
        <w:pStyle w:val="a0"/>
        <w:bidi/>
        <w:rPr>
          <w:rtl/>
        </w:rPr>
      </w:pPr>
      <w:r w:rsidRPr="006248DE">
        <w:rPr>
          <w:b/>
          <w:bCs/>
          <w:rtl/>
          <w:lang w:bidi="ar-BH"/>
        </w:rPr>
        <w:t>الأمر الثاني:</w:t>
      </w:r>
      <w:r>
        <w:rPr>
          <w:rtl/>
          <w:lang w:bidi="ar-BH"/>
        </w:rPr>
        <w:t xml:space="preserve"> لا ريب في ظهور الآية المباركة: </w:t>
      </w:r>
      <w:r>
        <w:rPr>
          <w:rFonts w:ascii="Simplified Arabic" w:hAnsi="Simplified Arabic"/>
          <w:rtl/>
        </w:rPr>
        <w:t>﴿</w:t>
      </w:r>
      <w:r w:rsidRPr="00FF0769">
        <w:rPr>
          <w:szCs w:val="28"/>
          <w:rtl/>
          <w:lang w:bidi="ar-BH"/>
        </w:rPr>
        <w:t xml:space="preserve">يَا أَيُّهَا الَّذِينَ آمَنُوا إِنَّمَا الْخَمْرُ وَالْمَيْسِرُ وَالْأَنصَابُ وَالْأَزْلَامُ رِجْسٌ مِّنْ عَمَلِ الشَّيْطَانِ فَاجْتَنِبُوهُ لَعَلَّكُمْ تُفْلِحُونَ </w:t>
      </w:r>
      <w:r>
        <w:rPr>
          <w:rtl/>
          <w:lang w:bidi="ar-BH"/>
        </w:rPr>
        <w:t xml:space="preserve">* </w:t>
      </w:r>
      <w:r w:rsidRPr="00FF0769">
        <w:rPr>
          <w:szCs w:val="28"/>
          <w:rtl/>
          <w:lang w:bidi="ar-BH"/>
        </w:rPr>
        <w:t>إِنَّمَا يُرِيدُ الشَّيْطَانُ أَن يُوقِعَ بَيْنَكُمُ الْعَدَاوَةَ وَالْبَغْضَاءَ فِي الْخَمْرِ وَالْمَيْسِرِ وَيَصُدَّكُمْ عَن ذِكْرِ اللَّهِ وَعَنِ الصَّلَاةِ</w:t>
      </w:r>
      <w:r w:rsidR="004C7537">
        <w:rPr>
          <w:rFonts w:hint="cs"/>
          <w:szCs w:val="28"/>
          <w:rtl/>
          <w:lang w:bidi="ar-BH"/>
        </w:rPr>
        <w:t>،</w:t>
      </w:r>
      <w:r w:rsidRPr="00FF0769">
        <w:rPr>
          <w:szCs w:val="28"/>
          <w:rtl/>
          <w:lang w:bidi="ar-BH"/>
        </w:rPr>
        <w:t xml:space="preserve"> </w:t>
      </w:r>
      <w:r w:rsidRPr="00FF0769">
        <w:rPr>
          <w:rFonts w:ascii="mylotus" w:hAnsi="mylotus" w:hint="cs"/>
          <w:szCs w:val="28"/>
          <w:rtl/>
          <w:lang w:bidi="ar-BH"/>
        </w:rPr>
        <w:t>فَهَلْ</w:t>
      </w:r>
      <w:r w:rsidRPr="00FF0769">
        <w:rPr>
          <w:szCs w:val="28"/>
          <w:rtl/>
          <w:lang w:bidi="ar-BH"/>
        </w:rPr>
        <w:t xml:space="preserve"> </w:t>
      </w:r>
      <w:r w:rsidRPr="00FF0769">
        <w:rPr>
          <w:rFonts w:ascii="mylotus" w:hAnsi="mylotus" w:hint="cs"/>
          <w:szCs w:val="28"/>
          <w:rtl/>
          <w:lang w:bidi="ar-BH"/>
        </w:rPr>
        <w:t>أَنتُم</w:t>
      </w:r>
      <w:r w:rsidRPr="00FF0769">
        <w:rPr>
          <w:szCs w:val="28"/>
          <w:rtl/>
          <w:lang w:bidi="ar-BH"/>
        </w:rPr>
        <w:t xml:space="preserve"> </w:t>
      </w:r>
      <w:r w:rsidRPr="00FF0769">
        <w:rPr>
          <w:rFonts w:ascii="mylotus" w:hAnsi="mylotus" w:hint="cs"/>
          <w:szCs w:val="28"/>
          <w:rtl/>
          <w:lang w:bidi="ar-BH"/>
        </w:rPr>
        <w:t>مُّنتَهُونَ</w:t>
      </w:r>
      <w:r>
        <w:rPr>
          <w:rFonts w:ascii="Simplified Arabic" w:hAnsi="Simplified Arabic"/>
          <w:rtl/>
        </w:rPr>
        <w:t>﴾</w:t>
      </w:r>
      <w:r>
        <w:rPr>
          <w:rFonts w:ascii="Simplified Arabic" w:hAnsi="Simplified Arabic" w:hint="cs"/>
          <w:vertAlign w:val="superscript"/>
          <w:rtl/>
        </w:rPr>
        <w:t>(</w:t>
      </w:r>
      <w:r>
        <w:rPr>
          <w:rStyle w:val="ac"/>
          <w:rFonts w:ascii="Simplified Arabic" w:hAnsi="Simplified Arabic"/>
          <w:rtl/>
        </w:rPr>
        <w:footnoteReference w:id="2"/>
      </w:r>
      <w:r>
        <w:rPr>
          <w:rFonts w:ascii="Simplified Arabic" w:hAnsi="Simplified Arabic" w:hint="cs"/>
          <w:vertAlign w:val="superscript"/>
          <w:rtl/>
        </w:rPr>
        <w:t>)</w:t>
      </w:r>
      <w:r>
        <w:rPr>
          <w:rtl/>
          <w:lang w:bidi="ar-BH"/>
        </w:rPr>
        <w:t>،</w:t>
      </w:r>
      <w:r w:rsidR="00153FDD">
        <w:rPr>
          <w:rtl/>
          <w:lang w:bidi="ar-BH"/>
        </w:rPr>
        <w:t xml:space="preserve"> </w:t>
      </w:r>
      <w:r>
        <w:rPr>
          <w:rtl/>
          <w:lang w:bidi="ar-BH"/>
        </w:rPr>
        <w:t xml:space="preserve">في أن الحكمة من تشريع حرمة القمار -الذي هو </w:t>
      </w:r>
      <w:r>
        <w:rPr>
          <w:rtl/>
          <w:lang w:bidi="ar-BH"/>
        </w:rPr>
        <w:lastRenderedPageBreak/>
        <w:t xml:space="preserve">الميسر- أن المغالبة </w:t>
      </w:r>
      <w:proofErr w:type="spellStart"/>
      <w:r>
        <w:rPr>
          <w:rtl/>
          <w:lang w:bidi="ar-BH"/>
        </w:rPr>
        <w:t>المتقوّمة</w:t>
      </w:r>
      <w:proofErr w:type="spellEnd"/>
      <w:r>
        <w:rPr>
          <w:rtl/>
          <w:lang w:bidi="ar-BH"/>
        </w:rPr>
        <w:t xml:space="preserve"> بالرهان منشأ للعداوة والبغضاء والصد عن ذكر الله، وهذا يقتضي شمول الحرمة والنهي لكل مورد يتوفر فيه هذا الملاك. </w:t>
      </w:r>
      <w:r>
        <w:rPr>
          <w:rFonts w:hint="cs"/>
          <w:rtl/>
        </w:rPr>
        <w:t>إ</w:t>
      </w:r>
      <w:r>
        <w:rPr>
          <w:rtl/>
          <w:lang w:bidi="ar-BH"/>
        </w:rPr>
        <w:t xml:space="preserve">لا أن هذا الملاك الواضح من الآية المباركة، مما لا ينطبق على التعامل </w:t>
      </w:r>
      <w:proofErr w:type="spellStart"/>
      <w:r>
        <w:rPr>
          <w:rtl/>
          <w:lang w:bidi="ar-BH"/>
        </w:rPr>
        <w:t>بالبتكوين</w:t>
      </w:r>
      <w:proofErr w:type="spellEnd"/>
      <w:r>
        <w:rPr>
          <w:rtl/>
          <w:lang w:bidi="ar-BH"/>
        </w:rPr>
        <w:t>، لعدم اشتماله على تقوّم الاكتساب بالمغالبة من أجل الاسترباح عن طريق الرهان، وإنما هي معاوضات ومضاربة واستثمار.</w:t>
      </w:r>
    </w:p>
    <w:p w14:paraId="56A86299" w14:textId="77777777" w:rsidR="008A72C9" w:rsidRDefault="008A72C9" w:rsidP="008A72C9">
      <w:pPr>
        <w:pStyle w:val="a0"/>
        <w:bidi/>
        <w:rPr>
          <w:rtl/>
        </w:rPr>
      </w:pPr>
      <w:r w:rsidRPr="006A758D">
        <w:rPr>
          <w:b/>
          <w:bCs/>
          <w:rtl/>
          <w:lang w:bidi="ar-BH"/>
        </w:rPr>
        <w:t>الأمر الثالث:</w:t>
      </w:r>
      <w:r>
        <w:rPr>
          <w:rtl/>
          <w:lang w:bidi="ar-BH"/>
        </w:rPr>
        <w:t xml:space="preserve"> </w:t>
      </w:r>
      <w:r>
        <w:rPr>
          <w:rFonts w:hint="cs"/>
          <w:rtl/>
        </w:rPr>
        <w:t>إ</w:t>
      </w:r>
      <w:r>
        <w:rPr>
          <w:rtl/>
          <w:lang w:bidi="ar-BH"/>
        </w:rPr>
        <w:t>نه قد</w:t>
      </w:r>
      <w:r>
        <w:rPr>
          <w:rFonts w:hint="cs"/>
          <w:rtl/>
        </w:rPr>
        <w:t xml:space="preserve"> </w:t>
      </w:r>
      <w:r>
        <w:rPr>
          <w:rtl/>
          <w:lang w:bidi="ar-BH"/>
        </w:rPr>
        <w:t xml:space="preserve">يدعى إمكان إثبات حرمة </w:t>
      </w:r>
      <w:proofErr w:type="spellStart"/>
      <w:r>
        <w:rPr>
          <w:rtl/>
          <w:lang w:bidi="ar-BH"/>
        </w:rPr>
        <w:t>البتكوين</w:t>
      </w:r>
      <w:proofErr w:type="spellEnd"/>
      <w:r>
        <w:rPr>
          <w:rtl/>
          <w:lang w:bidi="ar-BH"/>
        </w:rPr>
        <w:t xml:space="preserve"> بملاك </w:t>
      </w:r>
      <w:proofErr w:type="spellStart"/>
      <w:r>
        <w:rPr>
          <w:rtl/>
          <w:lang w:bidi="ar-BH"/>
        </w:rPr>
        <w:t>المعرضية</w:t>
      </w:r>
      <w:proofErr w:type="spellEnd"/>
      <w:r>
        <w:rPr>
          <w:rtl/>
          <w:lang w:bidi="ar-BH"/>
        </w:rPr>
        <w:t xml:space="preserve"> للخطر المالي من خلال طرق ثلاثة: تنقيح المناط؛ </w:t>
      </w:r>
      <w:r>
        <w:rPr>
          <w:rFonts w:hint="cs"/>
          <w:rtl/>
        </w:rPr>
        <w:t>و</w:t>
      </w:r>
      <w:r>
        <w:rPr>
          <w:rtl/>
          <w:lang w:bidi="ar-BH"/>
        </w:rPr>
        <w:t xml:space="preserve">مذاق الشارع؛ </w:t>
      </w:r>
      <w:r>
        <w:rPr>
          <w:rFonts w:hint="cs"/>
          <w:rtl/>
        </w:rPr>
        <w:t>و</w:t>
      </w:r>
      <w:r>
        <w:rPr>
          <w:rtl/>
          <w:lang w:bidi="ar-BH"/>
        </w:rPr>
        <w:t>مقاصد الشريعة</w:t>
      </w:r>
      <w:r>
        <w:rPr>
          <w:rFonts w:hint="cs"/>
          <w:rtl/>
        </w:rPr>
        <w:t>.</w:t>
      </w:r>
      <w:r>
        <w:rPr>
          <w:rtl/>
          <w:lang w:bidi="ar-BH"/>
        </w:rPr>
        <w:t xml:space="preserve"> ولكل واحد من هذه الطرق أدواته:</w:t>
      </w:r>
    </w:p>
    <w:p w14:paraId="14DB5BA8" w14:textId="77777777" w:rsidR="008A72C9" w:rsidRPr="000028EA" w:rsidRDefault="008A72C9" w:rsidP="008A72C9">
      <w:pPr>
        <w:pStyle w:val="a0"/>
        <w:bidi/>
        <w:rPr>
          <w:b/>
          <w:bCs/>
          <w:rtl/>
        </w:rPr>
      </w:pPr>
      <w:r w:rsidRPr="000028EA">
        <w:rPr>
          <w:rFonts w:hint="cs"/>
          <w:b/>
          <w:bCs/>
          <w:rtl/>
        </w:rPr>
        <w:t>الطريق الأول (تنقيح المناط)</w:t>
      </w:r>
    </w:p>
    <w:p w14:paraId="3E57E7DD" w14:textId="77777777" w:rsidR="008A72C9" w:rsidRDefault="008A72C9" w:rsidP="008A72C9">
      <w:pPr>
        <w:pStyle w:val="a0"/>
        <w:bidi/>
        <w:rPr>
          <w:rtl/>
        </w:rPr>
      </w:pPr>
      <w:r>
        <w:rPr>
          <w:rtl/>
          <w:lang w:bidi="ar-BH"/>
        </w:rPr>
        <w:t>والمقصود منه اكتشاف الملاك التام الذي يدور الحكم مداره</w:t>
      </w:r>
      <w:r>
        <w:rPr>
          <w:rFonts w:hint="cs"/>
          <w:rtl/>
        </w:rPr>
        <w:t>،</w:t>
      </w:r>
      <w:r>
        <w:rPr>
          <w:rtl/>
          <w:lang w:bidi="ar-BH"/>
        </w:rPr>
        <w:t xml:space="preserve"> إما بصراحة النص فيه، أو بظهور النص، أو إلغاء العرف للخصوصية بمقتضى مناسبة الحكم للموضوع</w:t>
      </w:r>
      <w:r>
        <w:rPr>
          <w:rFonts w:hint="cs"/>
          <w:rtl/>
        </w:rPr>
        <w:t>.</w:t>
      </w:r>
      <w:r>
        <w:rPr>
          <w:rtl/>
          <w:lang w:bidi="ar-BH"/>
        </w:rPr>
        <w:t xml:space="preserve"> وما سوى هذه الأدوات الثلاث فهو تخر</w:t>
      </w:r>
      <w:r>
        <w:rPr>
          <w:rFonts w:hint="cs"/>
          <w:rtl/>
        </w:rPr>
        <w:t>ّ</w:t>
      </w:r>
      <w:r>
        <w:rPr>
          <w:rtl/>
          <w:lang w:bidi="ar-BH"/>
        </w:rPr>
        <w:t xml:space="preserve">ص وتخمين. </w:t>
      </w:r>
    </w:p>
    <w:p w14:paraId="4D66ED17" w14:textId="77777777" w:rsidR="008A72C9" w:rsidRDefault="008A72C9" w:rsidP="008A72C9">
      <w:pPr>
        <w:pStyle w:val="a0"/>
        <w:bidi/>
        <w:rPr>
          <w:rtl/>
        </w:rPr>
      </w:pPr>
      <w:r>
        <w:rPr>
          <w:rtl/>
          <w:lang w:bidi="ar-BH"/>
        </w:rPr>
        <w:t xml:space="preserve">وكأمثلة للأدوات الثلاثة: </w:t>
      </w:r>
    </w:p>
    <w:p w14:paraId="00A2631A" w14:textId="77777777" w:rsidR="008A72C9" w:rsidRDefault="008A72C9" w:rsidP="008A72C9">
      <w:pPr>
        <w:pStyle w:val="a0"/>
        <w:bidi/>
        <w:rPr>
          <w:rtl/>
        </w:rPr>
      </w:pPr>
      <w:r>
        <w:rPr>
          <w:rtl/>
          <w:lang w:bidi="ar-BH"/>
        </w:rPr>
        <w:t>1- ما كان فيه النص واضحًا في العلي</w:t>
      </w:r>
      <w:r>
        <w:rPr>
          <w:rFonts w:hint="cs"/>
          <w:rtl/>
        </w:rPr>
        <w:t>ّ</w:t>
      </w:r>
      <w:r>
        <w:rPr>
          <w:rtl/>
          <w:lang w:bidi="ar-BH"/>
        </w:rPr>
        <w:t>ة: نحو معتبرة علي بن يقطين، عن أبي الحسن الماضي (عليه السلام)، قال: "</w:t>
      </w:r>
      <w:r w:rsidRPr="0077667E">
        <w:rPr>
          <w:szCs w:val="28"/>
          <w:rtl/>
          <w:lang w:bidi="ar-BH"/>
        </w:rPr>
        <w:t xml:space="preserve">إِنَّ الله عَزَّ وَجَلَّ لَمْ يُحَرِّمِ الْخَمْرَ لِاسْمِهَا، </w:t>
      </w:r>
      <w:proofErr w:type="spellStart"/>
      <w:r w:rsidRPr="0077667E">
        <w:rPr>
          <w:szCs w:val="28"/>
          <w:rtl/>
          <w:lang w:bidi="ar-BH"/>
        </w:rPr>
        <w:t>وَلٰكِنَّهُ</w:t>
      </w:r>
      <w:proofErr w:type="spellEnd"/>
      <w:r w:rsidRPr="0077667E">
        <w:rPr>
          <w:rFonts w:ascii="Times New Roman" w:hAnsi="Times New Roman" w:cs="Times New Roman" w:hint="cs"/>
          <w:szCs w:val="28"/>
          <w:rtl/>
          <w:lang w:bidi="ar-BH"/>
        </w:rPr>
        <w:t>‌</w:t>
      </w:r>
      <w:r w:rsidRPr="0077667E">
        <w:rPr>
          <w:szCs w:val="28"/>
          <w:rtl/>
          <w:lang w:bidi="ar-BH"/>
        </w:rPr>
        <w:t xml:space="preserve"> </w:t>
      </w:r>
      <w:r w:rsidRPr="0077667E">
        <w:rPr>
          <w:rFonts w:ascii="mylotus" w:hAnsi="mylotus" w:hint="cs"/>
          <w:szCs w:val="28"/>
          <w:rtl/>
          <w:lang w:bidi="ar-BH"/>
        </w:rPr>
        <w:t>حَرَّمَهَا</w:t>
      </w:r>
      <w:r w:rsidRPr="0077667E">
        <w:rPr>
          <w:szCs w:val="28"/>
          <w:rtl/>
          <w:lang w:bidi="ar-BH"/>
        </w:rPr>
        <w:t xml:space="preserve"> </w:t>
      </w:r>
      <w:r w:rsidRPr="0077667E">
        <w:rPr>
          <w:rFonts w:ascii="mylotus" w:hAnsi="mylotus" w:hint="cs"/>
          <w:szCs w:val="28"/>
          <w:rtl/>
          <w:lang w:bidi="ar-BH"/>
        </w:rPr>
        <w:t>لِعَاقِبَتِهَا،</w:t>
      </w:r>
      <w:r w:rsidRPr="0077667E">
        <w:rPr>
          <w:szCs w:val="28"/>
          <w:rtl/>
          <w:lang w:bidi="ar-BH"/>
        </w:rPr>
        <w:t xml:space="preserve"> </w:t>
      </w:r>
      <w:r w:rsidRPr="0077667E">
        <w:rPr>
          <w:rFonts w:ascii="mylotus" w:hAnsi="mylotus" w:hint="cs"/>
          <w:szCs w:val="28"/>
          <w:rtl/>
          <w:lang w:bidi="ar-BH"/>
        </w:rPr>
        <w:t>فَمَا</w:t>
      </w:r>
      <w:r w:rsidRPr="0077667E">
        <w:rPr>
          <w:szCs w:val="28"/>
          <w:rtl/>
          <w:lang w:bidi="ar-BH"/>
        </w:rPr>
        <w:t xml:space="preserve"> </w:t>
      </w:r>
      <w:r w:rsidRPr="0077667E">
        <w:rPr>
          <w:rFonts w:ascii="mylotus" w:hAnsi="mylotus" w:hint="cs"/>
          <w:szCs w:val="28"/>
          <w:rtl/>
          <w:lang w:bidi="ar-BH"/>
        </w:rPr>
        <w:t>كَانَ</w:t>
      </w:r>
      <w:r w:rsidRPr="0077667E">
        <w:rPr>
          <w:szCs w:val="28"/>
          <w:rtl/>
          <w:lang w:bidi="ar-BH"/>
        </w:rPr>
        <w:t xml:space="preserve"> </w:t>
      </w:r>
      <w:r w:rsidRPr="0077667E">
        <w:rPr>
          <w:rFonts w:ascii="mylotus" w:hAnsi="mylotus" w:hint="cs"/>
          <w:szCs w:val="28"/>
          <w:rtl/>
          <w:lang w:bidi="ar-BH"/>
        </w:rPr>
        <w:t>عَاقِبَتُهُ</w:t>
      </w:r>
      <w:r w:rsidRPr="0077667E">
        <w:rPr>
          <w:szCs w:val="28"/>
          <w:rtl/>
          <w:lang w:bidi="ar-BH"/>
        </w:rPr>
        <w:t xml:space="preserve"> </w:t>
      </w:r>
      <w:r w:rsidRPr="0077667E">
        <w:rPr>
          <w:rFonts w:ascii="mylotus" w:hAnsi="mylotus" w:hint="cs"/>
          <w:szCs w:val="28"/>
          <w:rtl/>
          <w:lang w:bidi="ar-BH"/>
        </w:rPr>
        <w:t>عَاقِبَةَ</w:t>
      </w:r>
      <w:r w:rsidRPr="0077667E">
        <w:rPr>
          <w:szCs w:val="28"/>
          <w:rtl/>
          <w:lang w:bidi="ar-BH"/>
        </w:rPr>
        <w:t xml:space="preserve"> </w:t>
      </w:r>
      <w:r w:rsidRPr="0077667E">
        <w:rPr>
          <w:rFonts w:ascii="mylotus" w:hAnsi="mylotus" w:hint="cs"/>
          <w:szCs w:val="28"/>
          <w:rtl/>
          <w:lang w:bidi="ar-BH"/>
        </w:rPr>
        <w:t>الْخَمْرِ</w:t>
      </w:r>
      <w:r w:rsidRPr="0077667E">
        <w:rPr>
          <w:szCs w:val="28"/>
          <w:rtl/>
          <w:lang w:bidi="ar-BH"/>
        </w:rPr>
        <w:t xml:space="preserve"> </w:t>
      </w:r>
      <w:r w:rsidRPr="0077667E">
        <w:rPr>
          <w:rFonts w:ascii="mylotus" w:hAnsi="mylotus" w:hint="cs"/>
          <w:szCs w:val="28"/>
          <w:rtl/>
          <w:lang w:bidi="ar-BH"/>
        </w:rPr>
        <w:t>فَهُوَ</w:t>
      </w:r>
      <w:r w:rsidRPr="0077667E">
        <w:rPr>
          <w:szCs w:val="28"/>
          <w:rtl/>
          <w:lang w:bidi="ar-BH"/>
        </w:rPr>
        <w:t xml:space="preserve"> </w:t>
      </w:r>
      <w:r w:rsidRPr="0077667E">
        <w:rPr>
          <w:rFonts w:ascii="mylotus" w:hAnsi="mylotus" w:hint="cs"/>
          <w:szCs w:val="28"/>
          <w:rtl/>
          <w:lang w:bidi="ar-BH"/>
        </w:rPr>
        <w:t>خَمْر</w:t>
      </w:r>
      <w:r>
        <w:rPr>
          <w:rtl/>
          <w:lang w:bidi="ar-BH"/>
        </w:rPr>
        <w:t>"</w:t>
      </w:r>
      <w:r>
        <w:rPr>
          <w:rFonts w:hint="cs"/>
          <w:vertAlign w:val="superscript"/>
          <w:rtl/>
        </w:rPr>
        <w:t>(</w:t>
      </w:r>
      <w:r>
        <w:rPr>
          <w:rStyle w:val="ac"/>
          <w:rtl/>
        </w:rPr>
        <w:footnoteReference w:id="3"/>
      </w:r>
      <w:r>
        <w:rPr>
          <w:rFonts w:hint="cs"/>
          <w:vertAlign w:val="superscript"/>
          <w:rtl/>
        </w:rPr>
        <w:t>)</w:t>
      </w:r>
      <w:r>
        <w:rPr>
          <w:rtl/>
          <w:lang w:bidi="ar-BH"/>
        </w:rPr>
        <w:t>، فإن الرواية صريحة في أن المدار على الإسكار.</w:t>
      </w:r>
    </w:p>
    <w:p w14:paraId="70C08474" w14:textId="7289E5E3" w:rsidR="008A72C9" w:rsidRDefault="008A72C9" w:rsidP="008A72C9">
      <w:pPr>
        <w:pStyle w:val="a0"/>
        <w:bidi/>
        <w:rPr>
          <w:rtl/>
        </w:rPr>
      </w:pPr>
      <w:r>
        <w:rPr>
          <w:rtl/>
          <w:lang w:bidi="ar-BH"/>
        </w:rPr>
        <w:t>2- الظهور: وقد مثّل له في المكاسب بهذه الرواية الشريفة</w:t>
      </w:r>
      <w:r>
        <w:rPr>
          <w:rFonts w:hint="cs"/>
          <w:rtl/>
        </w:rPr>
        <w:t xml:space="preserve">: </w:t>
      </w:r>
      <w:r w:rsidRPr="00E51BAC">
        <w:rPr>
          <w:rtl/>
          <w:lang w:bidi="ar-BH"/>
        </w:rPr>
        <w:t>ما روي عن النبي (ص) أنه سئل عن بيع الرطب بالتمر، فقال: "أ</w:t>
      </w:r>
      <w:r w:rsidR="000028EA">
        <w:rPr>
          <w:rFonts w:hint="cs"/>
          <w:rtl/>
          <w:lang w:bidi="ar-BH"/>
        </w:rPr>
        <w:t>َ</w:t>
      </w:r>
      <w:r w:rsidRPr="00E51BAC">
        <w:rPr>
          <w:rtl/>
          <w:lang w:bidi="ar-BH"/>
        </w:rPr>
        <w:t>ي</w:t>
      </w:r>
      <w:r w:rsidR="000028EA">
        <w:rPr>
          <w:rFonts w:hint="cs"/>
          <w:rtl/>
          <w:lang w:bidi="ar-BH"/>
        </w:rPr>
        <w:t>َ</w:t>
      </w:r>
      <w:r w:rsidRPr="00E51BAC">
        <w:rPr>
          <w:rtl/>
          <w:lang w:bidi="ar-BH"/>
        </w:rPr>
        <w:t>ن</w:t>
      </w:r>
      <w:r w:rsidR="000028EA">
        <w:rPr>
          <w:rFonts w:hint="cs"/>
          <w:rtl/>
          <w:lang w:bidi="ar-BH"/>
        </w:rPr>
        <w:t>ْ</w:t>
      </w:r>
      <w:r w:rsidRPr="00E51BAC">
        <w:rPr>
          <w:rtl/>
          <w:lang w:bidi="ar-BH"/>
        </w:rPr>
        <w:t>ق</w:t>
      </w:r>
      <w:r w:rsidR="000028EA">
        <w:rPr>
          <w:rFonts w:hint="cs"/>
          <w:rtl/>
          <w:lang w:bidi="ar-BH"/>
        </w:rPr>
        <w:t>ُ</w:t>
      </w:r>
      <w:r w:rsidRPr="00E51BAC">
        <w:rPr>
          <w:rtl/>
          <w:lang w:bidi="ar-BH"/>
        </w:rPr>
        <w:t>ص</w:t>
      </w:r>
      <w:r w:rsidR="000028EA">
        <w:rPr>
          <w:rFonts w:hint="cs"/>
          <w:rtl/>
          <w:lang w:bidi="ar-BH"/>
        </w:rPr>
        <w:t>ُ</w:t>
      </w:r>
      <w:r w:rsidRPr="00E51BAC">
        <w:rPr>
          <w:rtl/>
          <w:lang w:bidi="ar-BH"/>
        </w:rPr>
        <w:t xml:space="preserve"> إ</w:t>
      </w:r>
      <w:r w:rsidR="000028EA">
        <w:rPr>
          <w:rFonts w:hint="cs"/>
          <w:rtl/>
          <w:lang w:bidi="ar-BH"/>
        </w:rPr>
        <w:t>ِ</w:t>
      </w:r>
      <w:r w:rsidRPr="00E51BAC">
        <w:rPr>
          <w:rtl/>
          <w:lang w:bidi="ar-BH"/>
        </w:rPr>
        <w:t>ذ</w:t>
      </w:r>
      <w:r w:rsidR="000028EA">
        <w:rPr>
          <w:rFonts w:hint="cs"/>
          <w:rtl/>
          <w:lang w:bidi="ar-BH"/>
        </w:rPr>
        <w:t>َ</w:t>
      </w:r>
      <w:r w:rsidRPr="00E51BAC">
        <w:rPr>
          <w:rtl/>
          <w:lang w:bidi="ar-BH"/>
        </w:rPr>
        <w:t>ا ج</w:t>
      </w:r>
      <w:r w:rsidR="000028EA">
        <w:rPr>
          <w:rFonts w:hint="cs"/>
          <w:rtl/>
          <w:lang w:bidi="ar-BH"/>
        </w:rPr>
        <w:t>َ</w:t>
      </w:r>
      <w:r w:rsidRPr="00E51BAC">
        <w:rPr>
          <w:rtl/>
          <w:lang w:bidi="ar-BH"/>
        </w:rPr>
        <w:t>ف</w:t>
      </w:r>
      <w:r w:rsidR="000028EA">
        <w:rPr>
          <w:rFonts w:hint="cs"/>
          <w:rtl/>
          <w:lang w:bidi="ar-BH"/>
        </w:rPr>
        <w:t>َّ</w:t>
      </w:r>
      <w:r w:rsidRPr="00E51BAC">
        <w:rPr>
          <w:rtl/>
          <w:lang w:bidi="ar-BH"/>
        </w:rPr>
        <w:t>؟ ق</w:t>
      </w:r>
      <w:r w:rsidR="000028EA">
        <w:rPr>
          <w:rFonts w:hint="cs"/>
          <w:rtl/>
          <w:lang w:bidi="ar-BH"/>
        </w:rPr>
        <w:t>َ</w:t>
      </w:r>
      <w:r w:rsidRPr="00E51BAC">
        <w:rPr>
          <w:rtl/>
          <w:lang w:bidi="ar-BH"/>
        </w:rPr>
        <w:t>ال</w:t>
      </w:r>
      <w:r w:rsidR="000028EA">
        <w:rPr>
          <w:rFonts w:hint="cs"/>
          <w:rtl/>
          <w:lang w:bidi="ar-BH"/>
        </w:rPr>
        <w:t>ُ</w:t>
      </w:r>
      <w:r w:rsidRPr="00E51BAC">
        <w:rPr>
          <w:rtl/>
          <w:lang w:bidi="ar-BH"/>
        </w:rPr>
        <w:t>وا: ن</w:t>
      </w:r>
      <w:r w:rsidR="000028EA">
        <w:rPr>
          <w:rFonts w:hint="cs"/>
          <w:rtl/>
          <w:lang w:bidi="ar-BH"/>
        </w:rPr>
        <w:t>َ</w:t>
      </w:r>
      <w:r w:rsidRPr="00E51BAC">
        <w:rPr>
          <w:rtl/>
          <w:lang w:bidi="ar-BH"/>
        </w:rPr>
        <w:t>ع</w:t>
      </w:r>
      <w:r w:rsidR="000028EA">
        <w:rPr>
          <w:rFonts w:hint="cs"/>
          <w:rtl/>
          <w:lang w:bidi="ar-BH"/>
        </w:rPr>
        <w:t>ْ</w:t>
      </w:r>
      <w:r w:rsidRPr="00E51BAC">
        <w:rPr>
          <w:rtl/>
          <w:lang w:bidi="ar-BH"/>
        </w:rPr>
        <w:t>م. ف</w:t>
      </w:r>
      <w:r w:rsidR="000028EA">
        <w:rPr>
          <w:rFonts w:hint="cs"/>
          <w:rtl/>
          <w:lang w:bidi="ar-BH"/>
        </w:rPr>
        <w:t>َ</w:t>
      </w:r>
      <w:r w:rsidRPr="00E51BAC">
        <w:rPr>
          <w:rtl/>
          <w:lang w:bidi="ar-BH"/>
        </w:rPr>
        <w:t>ق</w:t>
      </w:r>
      <w:r w:rsidR="000028EA">
        <w:rPr>
          <w:rFonts w:hint="cs"/>
          <w:rtl/>
          <w:lang w:bidi="ar-BH"/>
        </w:rPr>
        <w:t>َ</w:t>
      </w:r>
      <w:r w:rsidRPr="00E51BAC">
        <w:rPr>
          <w:rtl/>
          <w:lang w:bidi="ar-BH"/>
        </w:rPr>
        <w:t>ال</w:t>
      </w:r>
      <w:r w:rsidR="000028EA">
        <w:rPr>
          <w:rFonts w:hint="cs"/>
          <w:rtl/>
          <w:lang w:bidi="ar-BH"/>
        </w:rPr>
        <w:t>َ</w:t>
      </w:r>
      <w:r w:rsidRPr="00E51BAC">
        <w:rPr>
          <w:rtl/>
          <w:lang w:bidi="ar-BH"/>
        </w:rPr>
        <w:t>: ف</w:t>
      </w:r>
      <w:r w:rsidR="000028EA">
        <w:rPr>
          <w:rFonts w:hint="cs"/>
          <w:rtl/>
          <w:lang w:bidi="ar-BH"/>
        </w:rPr>
        <w:t>َ</w:t>
      </w:r>
      <w:r w:rsidRPr="00E51BAC">
        <w:rPr>
          <w:rtl/>
          <w:lang w:bidi="ar-BH"/>
        </w:rPr>
        <w:t>ل</w:t>
      </w:r>
      <w:r w:rsidR="000028EA">
        <w:rPr>
          <w:rFonts w:hint="cs"/>
          <w:rtl/>
          <w:lang w:bidi="ar-BH"/>
        </w:rPr>
        <w:t>َا</w:t>
      </w:r>
      <w:r w:rsidRPr="00E51BAC">
        <w:rPr>
          <w:rtl/>
          <w:lang w:bidi="ar-BH"/>
        </w:rPr>
        <w:t xml:space="preserve"> إ</w:t>
      </w:r>
      <w:r w:rsidR="000028EA">
        <w:rPr>
          <w:rFonts w:hint="cs"/>
          <w:rtl/>
          <w:lang w:bidi="ar-BH"/>
        </w:rPr>
        <w:t>ِ</w:t>
      </w:r>
      <w:r w:rsidRPr="00E51BAC">
        <w:rPr>
          <w:rtl/>
          <w:lang w:bidi="ar-BH"/>
        </w:rPr>
        <w:t>ذ</w:t>
      </w:r>
      <w:r w:rsidR="000028EA">
        <w:rPr>
          <w:rFonts w:hint="cs"/>
          <w:rtl/>
          <w:lang w:bidi="ar-BH"/>
        </w:rPr>
        <w:t>َ</w:t>
      </w:r>
      <w:r w:rsidRPr="00E51BAC">
        <w:rPr>
          <w:rtl/>
          <w:lang w:bidi="ar-BH"/>
        </w:rPr>
        <w:t>ن"</w:t>
      </w:r>
      <w:r>
        <w:rPr>
          <w:rFonts w:hint="cs"/>
          <w:rtl/>
        </w:rPr>
        <w:t>،</w:t>
      </w:r>
      <w:r>
        <w:rPr>
          <w:rtl/>
          <w:lang w:bidi="ar-BH"/>
        </w:rPr>
        <w:t xml:space="preserve"> فإن هذه الرواية </w:t>
      </w:r>
      <w:r>
        <w:rPr>
          <w:rFonts w:hint="cs"/>
          <w:rtl/>
        </w:rPr>
        <w:t xml:space="preserve">وإن كانت </w:t>
      </w:r>
      <w:r>
        <w:rPr>
          <w:rtl/>
          <w:lang w:bidi="ar-BH"/>
        </w:rPr>
        <w:t>ليست صريحة في أن النقصان هو علة المنع، ولكنها ظاهرة فيه عرفًا وإن لم تصل إلى درجة الصراحة.</w:t>
      </w:r>
    </w:p>
    <w:p w14:paraId="24A65632" w14:textId="77777777" w:rsidR="008A72C9" w:rsidRDefault="008A72C9" w:rsidP="008A72C9">
      <w:pPr>
        <w:pStyle w:val="a0"/>
        <w:bidi/>
        <w:rPr>
          <w:rtl/>
        </w:rPr>
      </w:pPr>
      <w:r>
        <w:rPr>
          <w:rtl/>
          <w:lang w:bidi="ar-BH"/>
        </w:rPr>
        <w:t>3- إلغاء العرف للخصوصية بمقتضى مناسبة الحكم للموضوع: ولذلك عدة أمثلة</w:t>
      </w:r>
      <w:r>
        <w:rPr>
          <w:rFonts w:hint="cs"/>
          <w:rtl/>
        </w:rPr>
        <w:t>،</w:t>
      </w:r>
      <w:r>
        <w:rPr>
          <w:rtl/>
          <w:lang w:bidi="ar-BH"/>
        </w:rPr>
        <w:t xml:space="preserve"> منها: صحيحة عبدالله بن سنان، عن الصادق (ع): "</w:t>
      </w:r>
      <w:r w:rsidRPr="00084793">
        <w:rPr>
          <w:szCs w:val="28"/>
          <w:rtl/>
          <w:lang w:bidi="ar-BH"/>
        </w:rPr>
        <w:t>يَجُوزُ لِلْمَرِيضِ أَنْ يَقْرَأَ فِي الْفَرِيضَةِ فَاتِحَةَ الْكِتَابِ وَحْدَهَا</w:t>
      </w:r>
      <w:r>
        <w:rPr>
          <w:rtl/>
          <w:lang w:bidi="ar-BH"/>
        </w:rPr>
        <w:t>"</w:t>
      </w:r>
      <w:r>
        <w:rPr>
          <w:vertAlign w:val="superscript"/>
        </w:rPr>
        <w:t>)</w:t>
      </w:r>
      <w:r>
        <w:rPr>
          <w:rStyle w:val="ac"/>
          <w:rtl/>
        </w:rPr>
        <w:footnoteReference w:id="4"/>
      </w:r>
      <w:r>
        <w:rPr>
          <w:rFonts w:hint="cs"/>
          <w:vertAlign w:val="superscript"/>
          <w:rtl/>
        </w:rPr>
        <w:t>)</w:t>
      </w:r>
      <w:r>
        <w:rPr>
          <w:rtl/>
          <w:lang w:bidi="ar-BH"/>
        </w:rPr>
        <w:t xml:space="preserve"> حيث إن مناسبة الحكم للموضوع تقتضي أن المراد بالمريض هو من يشق عليه الانتظار، ولو لم يكن مريضًا.</w:t>
      </w:r>
    </w:p>
    <w:p w14:paraId="1C458B84" w14:textId="42FA4C78" w:rsidR="008A72C9" w:rsidRDefault="008A72C9" w:rsidP="008A72C9">
      <w:pPr>
        <w:pStyle w:val="a0"/>
        <w:bidi/>
        <w:rPr>
          <w:rtl/>
        </w:rPr>
      </w:pPr>
      <w:r>
        <w:rPr>
          <w:rtl/>
          <w:lang w:bidi="ar-BH"/>
        </w:rPr>
        <w:t>ومنها: موثقة عمار</w:t>
      </w:r>
      <w:r>
        <w:rPr>
          <w:rFonts w:hint="cs"/>
          <w:rtl/>
        </w:rPr>
        <w:t xml:space="preserve"> </w:t>
      </w:r>
      <w:proofErr w:type="spellStart"/>
      <w:r>
        <w:rPr>
          <w:rFonts w:hint="cs"/>
          <w:rtl/>
        </w:rPr>
        <w:t>الساباطي</w:t>
      </w:r>
      <w:proofErr w:type="spellEnd"/>
      <w:r>
        <w:rPr>
          <w:rFonts w:hint="cs"/>
          <w:rtl/>
        </w:rPr>
        <w:t>، عن أبي عبد الله (ع) أنه قال</w:t>
      </w:r>
      <w:r>
        <w:rPr>
          <w:rtl/>
          <w:lang w:bidi="ar-BH"/>
        </w:rPr>
        <w:t>: "</w:t>
      </w:r>
      <w:r w:rsidRPr="00F3762B">
        <w:rPr>
          <w:szCs w:val="28"/>
          <w:rtl/>
          <w:lang w:bidi="ar-BH"/>
        </w:rPr>
        <w:t>يَمَسُّ اَلْجُنُبُ دِرْهَماً وَلاَ دِينَاراً عَلَيْهِ اِسْمُ اَللَّه</w:t>
      </w:r>
      <w:r>
        <w:rPr>
          <w:rtl/>
          <w:lang w:bidi="ar-BH"/>
        </w:rPr>
        <w:t>"</w:t>
      </w:r>
      <w:r>
        <w:rPr>
          <w:rFonts w:hint="cs"/>
          <w:vertAlign w:val="superscript"/>
          <w:rtl/>
        </w:rPr>
        <w:t>(</w:t>
      </w:r>
      <w:r>
        <w:rPr>
          <w:rStyle w:val="ac"/>
          <w:rtl/>
        </w:rPr>
        <w:footnoteReference w:id="5"/>
      </w:r>
      <w:r>
        <w:rPr>
          <w:rFonts w:hint="cs"/>
          <w:vertAlign w:val="superscript"/>
          <w:rtl/>
        </w:rPr>
        <w:t>)</w:t>
      </w:r>
      <w:r>
        <w:rPr>
          <w:rtl/>
          <w:lang w:bidi="ar-BH"/>
        </w:rPr>
        <w:t xml:space="preserve">، فإن مقتضى مناسبة الحكم للموضوع أن ملاك النهي عن مس الجنب درهما فيه اسم الله هو التعظيم، وبما أن </w:t>
      </w:r>
      <w:r>
        <w:rPr>
          <w:rtl/>
          <w:lang w:bidi="ar-BH"/>
        </w:rPr>
        <w:lastRenderedPageBreak/>
        <w:t>المناسبة هي التعظيم فلا فرق بين أسماء الله وصفاته، لأن العرف يفهم أن المناسبة هي التعظيم، ومقتضى ذلك عدم الفرق بين الأسماء والصفات.</w:t>
      </w:r>
    </w:p>
    <w:p w14:paraId="33060824" w14:textId="7B475B5B" w:rsidR="008A72C9" w:rsidRDefault="008A72C9" w:rsidP="008A72C9">
      <w:pPr>
        <w:pStyle w:val="a0"/>
        <w:bidi/>
        <w:rPr>
          <w:rtl/>
        </w:rPr>
      </w:pPr>
      <w:r>
        <w:rPr>
          <w:rtl/>
          <w:lang w:bidi="ar-BH"/>
        </w:rPr>
        <w:t xml:space="preserve">ومنها: رواية داود </w:t>
      </w:r>
      <w:proofErr w:type="spellStart"/>
      <w:r>
        <w:rPr>
          <w:rtl/>
          <w:lang w:bidi="ar-BH"/>
        </w:rPr>
        <w:t>الص</w:t>
      </w:r>
      <w:r w:rsidR="002E7166">
        <w:rPr>
          <w:rFonts w:hint="cs"/>
          <w:rtl/>
          <w:lang w:bidi="ar-BH"/>
        </w:rPr>
        <w:t>َّ</w:t>
      </w:r>
      <w:r>
        <w:rPr>
          <w:rtl/>
          <w:lang w:bidi="ar-BH"/>
        </w:rPr>
        <w:t>رمي</w:t>
      </w:r>
      <w:proofErr w:type="spellEnd"/>
      <w:r>
        <w:rPr>
          <w:rtl/>
          <w:lang w:bidi="ar-BH"/>
        </w:rPr>
        <w:t>، قال: "</w:t>
      </w:r>
      <w:r w:rsidRPr="007B2468">
        <w:rPr>
          <w:szCs w:val="28"/>
          <w:rtl/>
          <w:lang w:bidi="ar-BH"/>
        </w:rPr>
        <w:t xml:space="preserve">سَأَلْتُهُ عَنْ شَارِبِ الْخَمْرِ </w:t>
      </w:r>
      <w:proofErr w:type="spellStart"/>
      <w:r w:rsidRPr="007B2468">
        <w:rPr>
          <w:szCs w:val="28"/>
          <w:rtl/>
          <w:lang w:bidi="ar-BH"/>
        </w:rPr>
        <w:t>يُعْطىٰ</w:t>
      </w:r>
      <w:proofErr w:type="spellEnd"/>
      <w:r w:rsidRPr="007B2468">
        <w:rPr>
          <w:szCs w:val="28"/>
          <w:rtl/>
          <w:lang w:bidi="ar-BH"/>
        </w:rPr>
        <w:t xml:space="preserve"> مِنَ الزَّكَاةِ شَيْئاً؟ قَالَ</w:t>
      </w:r>
      <w:r w:rsidRPr="007B2468">
        <w:rPr>
          <w:rFonts w:ascii="Times New Roman" w:hAnsi="Times New Roman" w:cs="Times New Roman" w:hint="cs"/>
          <w:szCs w:val="28"/>
          <w:rtl/>
          <w:lang w:bidi="ar-BH"/>
        </w:rPr>
        <w:t>‌</w:t>
      </w:r>
      <w:r w:rsidRPr="007B2468">
        <w:rPr>
          <w:szCs w:val="28"/>
          <w:rtl/>
          <w:lang w:bidi="ar-BH"/>
        </w:rPr>
        <w:t>: لَا</w:t>
      </w:r>
      <w:r>
        <w:rPr>
          <w:rtl/>
          <w:lang w:bidi="ar-BH"/>
        </w:rPr>
        <w:t>"</w:t>
      </w:r>
      <w:r>
        <w:rPr>
          <w:rFonts w:hint="cs"/>
          <w:vertAlign w:val="superscript"/>
          <w:rtl/>
        </w:rPr>
        <w:t>(</w:t>
      </w:r>
      <w:r>
        <w:rPr>
          <w:rStyle w:val="ac"/>
          <w:rtl/>
        </w:rPr>
        <w:footnoteReference w:id="6"/>
      </w:r>
      <w:r>
        <w:rPr>
          <w:rFonts w:hint="cs"/>
          <w:vertAlign w:val="superscript"/>
          <w:rtl/>
        </w:rPr>
        <w:t>)</w:t>
      </w:r>
      <w:r>
        <w:rPr>
          <w:rtl/>
          <w:lang w:bidi="ar-BH"/>
        </w:rPr>
        <w:t xml:space="preserve"> حيث إنه لا خصوصية لشارب الخمر عرفا، وإنما المدار </w:t>
      </w:r>
      <w:r>
        <w:rPr>
          <w:rFonts w:hint="cs"/>
          <w:rtl/>
        </w:rPr>
        <w:t xml:space="preserve">على </w:t>
      </w:r>
      <w:r>
        <w:rPr>
          <w:rtl/>
          <w:lang w:bidi="ar-BH"/>
        </w:rPr>
        <w:t xml:space="preserve">ارتكاب كبائر الكبائر. </w:t>
      </w:r>
    </w:p>
    <w:p w14:paraId="097327F8" w14:textId="77777777" w:rsidR="008A72C9" w:rsidRDefault="008A72C9" w:rsidP="008A72C9">
      <w:pPr>
        <w:pStyle w:val="a0"/>
        <w:bidi/>
        <w:rPr>
          <w:rtl/>
        </w:rPr>
      </w:pPr>
      <w:r>
        <w:rPr>
          <w:rtl/>
          <w:lang w:bidi="ar-BH"/>
        </w:rPr>
        <w:t>وحيث اتضحت أدوات تنقيح المناط</w:t>
      </w:r>
      <w:r>
        <w:rPr>
          <w:rFonts w:hint="cs"/>
          <w:rtl/>
        </w:rPr>
        <w:t>،</w:t>
      </w:r>
      <w:r>
        <w:rPr>
          <w:rtl/>
          <w:lang w:bidi="ar-BH"/>
        </w:rPr>
        <w:t xml:space="preserve"> فهل تنطبق على المقام؟ </w:t>
      </w:r>
      <w:r>
        <w:rPr>
          <w:rFonts w:hint="cs"/>
          <w:rtl/>
        </w:rPr>
        <w:t xml:space="preserve">الأمر </w:t>
      </w:r>
      <w:r>
        <w:rPr>
          <w:rtl/>
          <w:lang w:bidi="ar-BH"/>
        </w:rPr>
        <w:t>يقتضي النظر في الروايات</w:t>
      </w:r>
      <w:r>
        <w:rPr>
          <w:rFonts w:hint="cs"/>
          <w:rtl/>
        </w:rPr>
        <w:t>، ومن بينها</w:t>
      </w:r>
      <w:r>
        <w:rPr>
          <w:rtl/>
          <w:lang w:bidi="ar-BH"/>
        </w:rPr>
        <w:t xml:space="preserve">: </w:t>
      </w:r>
    </w:p>
    <w:p w14:paraId="21D1153C" w14:textId="77777777" w:rsidR="008A72C9" w:rsidRDefault="008A72C9" w:rsidP="008A72C9">
      <w:pPr>
        <w:pStyle w:val="a0"/>
        <w:bidi/>
        <w:rPr>
          <w:rtl/>
        </w:rPr>
      </w:pPr>
      <w:r>
        <w:rPr>
          <w:rtl/>
          <w:lang w:bidi="ar-BH"/>
        </w:rPr>
        <w:t>1- صحيحة إسحاق بن عمار، قال: قلت لأبي عبدالله (ع): "</w:t>
      </w:r>
      <w:r w:rsidRPr="001A5590">
        <w:rPr>
          <w:rtl/>
        </w:rPr>
        <w:t xml:space="preserve"> </w:t>
      </w:r>
      <w:r w:rsidRPr="001A5590">
        <w:rPr>
          <w:szCs w:val="28"/>
          <w:rtl/>
          <w:lang w:bidi="ar-BH"/>
        </w:rPr>
        <w:t>الصِّبْيَانُ يَلْعَبُونَ بِالْجَوْزِ وَالْبَيْضِ</w:t>
      </w:r>
      <w:r w:rsidRPr="001A5590">
        <w:rPr>
          <w:rFonts w:ascii="Times New Roman" w:hAnsi="Times New Roman" w:cs="Times New Roman" w:hint="cs"/>
          <w:szCs w:val="28"/>
          <w:rtl/>
          <w:lang w:bidi="ar-BH"/>
        </w:rPr>
        <w:t>‌</w:t>
      </w:r>
      <w:r w:rsidRPr="001A5590">
        <w:rPr>
          <w:rFonts w:ascii="mylotus" w:hAnsi="mylotus" w:hint="cs"/>
          <w:szCs w:val="28"/>
          <w:rtl/>
          <w:lang w:bidi="ar-BH"/>
        </w:rPr>
        <w:t>،</w:t>
      </w:r>
      <w:r w:rsidRPr="001A5590">
        <w:rPr>
          <w:szCs w:val="28"/>
          <w:rtl/>
          <w:lang w:bidi="ar-BH"/>
        </w:rPr>
        <w:t xml:space="preserve"> </w:t>
      </w:r>
      <w:r w:rsidRPr="001A5590">
        <w:rPr>
          <w:rFonts w:ascii="mylotus" w:hAnsi="mylotus" w:hint="cs"/>
          <w:szCs w:val="28"/>
          <w:rtl/>
          <w:lang w:bidi="ar-BH"/>
        </w:rPr>
        <w:t>وَ</w:t>
      </w:r>
      <w:r w:rsidRPr="001A5590">
        <w:rPr>
          <w:szCs w:val="28"/>
          <w:rtl/>
          <w:lang w:bidi="ar-BH"/>
        </w:rPr>
        <w:t>يُقَامِرُونَ</w:t>
      </w:r>
      <w:r w:rsidRPr="001A5590">
        <w:rPr>
          <w:rFonts w:ascii="Times New Roman" w:hAnsi="Times New Roman" w:cs="Times New Roman" w:hint="cs"/>
          <w:szCs w:val="28"/>
          <w:rtl/>
          <w:lang w:bidi="ar-BH"/>
        </w:rPr>
        <w:t>‌</w:t>
      </w:r>
      <w:r w:rsidRPr="001A5590">
        <w:rPr>
          <w:szCs w:val="28"/>
          <w:rtl/>
          <w:lang w:bidi="ar-BH"/>
        </w:rPr>
        <w:t>. فَقَالَ</w:t>
      </w:r>
      <w:r w:rsidRPr="001A5590">
        <w:rPr>
          <w:rFonts w:ascii="Times New Roman" w:hAnsi="Times New Roman" w:cs="Times New Roman" w:hint="cs"/>
          <w:szCs w:val="28"/>
          <w:rtl/>
          <w:lang w:bidi="ar-BH"/>
        </w:rPr>
        <w:t>‌</w:t>
      </w:r>
      <w:r w:rsidRPr="001A5590">
        <w:rPr>
          <w:szCs w:val="28"/>
          <w:rtl/>
          <w:lang w:bidi="ar-BH"/>
        </w:rPr>
        <w:t>: لَا تَأْكُلْ مِنْهُ</w:t>
      </w:r>
      <w:r w:rsidRPr="001A5590">
        <w:rPr>
          <w:rFonts w:ascii="Times New Roman" w:hAnsi="Times New Roman" w:cs="Times New Roman" w:hint="cs"/>
          <w:szCs w:val="28"/>
          <w:rtl/>
          <w:lang w:bidi="ar-BH"/>
        </w:rPr>
        <w:t>‌</w:t>
      </w:r>
      <w:r w:rsidRPr="001A5590">
        <w:rPr>
          <w:szCs w:val="28"/>
          <w:rtl/>
          <w:lang w:bidi="ar-BH"/>
        </w:rPr>
        <w:t>؛ فَإِنَّهُ حَرَامٌ</w:t>
      </w:r>
      <w:r w:rsidRPr="001A5590">
        <w:rPr>
          <w:rFonts w:ascii="Times New Roman" w:hAnsi="Times New Roman" w:cs="Times New Roman" w:hint="cs"/>
          <w:szCs w:val="28"/>
          <w:rtl/>
          <w:lang w:bidi="ar-BH"/>
        </w:rPr>
        <w:t>‌</w:t>
      </w:r>
      <w:r>
        <w:rPr>
          <w:rtl/>
          <w:lang w:bidi="ar-BH"/>
        </w:rPr>
        <w:t>"</w:t>
      </w:r>
      <w:r>
        <w:rPr>
          <w:rFonts w:hint="cs"/>
          <w:vertAlign w:val="superscript"/>
          <w:rtl/>
        </w:rPr>
        <w:t>(</w:t>
      </w:r>
      <w:r>
        <w:rPr>
          <w:rStyle w:val="ac"/>
          <w:rtl/>
        </w:rPr>
        <w:footnoteReference w:id="7"/>
      </w:r>
      <w:r>
        <w:rPr>
          <w:rFonts w:hint="cs"/>
          <w:vertAlign w:val="superscript"/>
          <w:rtl/>
        </w:rPr>
        <w:t>)</w:t>
      </w:r>
      <w:r>
        <w:rPr>
          <w:rtl/>
          <w:lang w:bidi="ar-BH"/>
        </w:rPr>
        <w:t>.</w:t>
      </w:r>
    </w:p>
    <w:p w14:paraId="6D2864DA" w14:textId="77777777" w:rsidR="008A72C9" w:rsidRDefault="008A72C9" w:rsidP="008A72C9">
      <w:pPr>
        <w:pStyle w:val="a0"/>
        <w:bidi/>
        <w:rPr>
          <w:rtl/>
        </w:rPr>
      </w:pPr>
      <w:r>
        <w:rPr>
          <w:rtl/>
          <w:lang w:bidi="ar-BH"/>
        </w:rPr>
        <w:t>2- موثق السكوني، عن أبي عبدالله (ع)، قال: "</w:t>
      </w:r>
      <w:r w:rsidRPr="0098186E">
        <w:rPr>
          <w:szCs w:val="28"/>
          <w:rtl/>
          <w:lang w:bidi="ar-BH"/>
        </w:rPr>
        <w:t xml:space="preserve">كَانَ </w:t>
      </w:r>
      <w:proofErr w:type="spellStart"/>
      <w:r w:rsidRPr="0098186E">
        <w:rPr>
          <w:szCs w:val="28"/>
          <w:rtl/>
          <w:lang w:bidi="ar-BH"/>
        </w:rPr>
        <w:t>يَنْهىٰ</w:t>
      </w:r>
      <w:proofErr w:type="spellEnd"/>
      <w:r w:rsidRPr="0098186E">
        <w:rPr>
          <w:szCs w:val="28"/>
          <w:rtl/>
          <w:lang w:bidi="ar-BH"/>
        </w:rPr>
        <w:t xml:space="preserve"> عَنِ الْجَوْزِ يَجِيءُ بِهِ الصِّبْيَانُ مِنَ الْقِمَارِ أَنْ يُؤْكَلَ</w:t>
      </w:r>
      <w:r w:rsidRPr="0098186E">
        <w:rPr>
          <w:rFonts w:ascii="Times New Roman" w:hAnsi="Times New Roman" w:cs="Times New Roman" w:hint="cs"/>
          <w:szCs w:val="28"/>
          <w:rtl/>
          <w:lang w:bidi="ar-BH"/>
        </w:rPr>
        <w:t>‌</w:t>
      </w:r>
      <w:r w:rsidRPr="0098186E">
        <w:rPr>
          <w:rFonts w:ascii="mylotus" w:hAnsi="mylotus" w:hint="cs"/>
          <w:szCs w:val="28"/>
          <w:rtl/>
          <w:lang w:bidi="ar-BH"/>
        </w:rPr>
        <w:t>،</w:t>
      </w:r>
      <w:r w:rsidRPr="0098186E">
        <w:rPr>
          <w:szCs w:val="28"/>
          <w:rtl/>
          <w:lang w:bidi="ar-BH"/>
        </w:rPr>
        <w:t xml:space="preserve"> </w:t>
      </w:r>
      <w:r w:rsidRPr="0098186E">
        <w:rPr>
          <w:rFonts w:ascii="mylotus" w:hAnsi="mylotus" w:hint="cs"/>
          <w:szCs w:val="28"/>
          <w:rtl/>
          <w:lang w:bidi="ar-BH"/>
        </w:rPr>
        <w:t>وَ</w:t>
      </w:r>
      <w:r w:rsidRPr="0098186E">
        <w:rPr>
          <w:szCs w:val="28"/>
          <w:rtl/>
          <w:lang w:bidi="ar-BH"/>
        </w:rPr>
        <w:t>قَالَ</w:t>
      </w:r>
      <w:r w:rsidRPr="0098186E">
        <w:rPr>
          <w:rFonts w:ascii="Times New Roman" w:hAnsi="Times New Roman" w:cs="Times New Roman" w:hint="cs"/>
          <w:szCs w:val="28"/>
          <w:rtl/>
          <w:lang w:bidi="ar-BH"/>
        </w:rPr>
        <w:t>‌</w:t>
      </w:r>
      <w:r w:rsidRPr="0098186E">
        <w:rPr>
          <w:szCs w:val="28"/>
          <w:rtl/>
          <w:lang w:bidi="ar-BH"/>
        </w:rPr>
        <w:t>: هُوَ سُحْتٌ</w:t>
      </w:r>
      <w:r w:rsidRPr="0098186E">
        <w:rPr>
          <w:rFonts w:ascii="Times New Roman" w:hAnsi="Times New Roman" w:cs="Times New Roman" w:hint="cs"/>
          <w:szCs w:val="28"/>
          <w:rtl/>
          <w:lang w:bidi="ar-BH"/>
        </w:rPr>
        <w:t>‌</w:t>
      </w:r>
      <w:r>
        <w:rPr>
          <w:rtl/>
          <w:lang w:bidi="ar-BH"/>
        </w:rPr>
        <w:t>"</w:t>
      </w:r>
      <w:r>
        <w:rPr>
          <w:rFonts w:hint="cs"/>
          <w:vertAlign w:val="superscript"/>
          <w:rtl/>
        </w:rPr>
        <w:t>(</w:t>
      </w:r>
      <w:r>
        <w:rPr>
          <w:rStyle w:val="ac"/>
          <w:rtl/>
        </w:rPr>
        <w:footnoteReference w:id="8"/>
      </w:r>
      <w:r>
        <w:rPr>
          <w:rFonts w:hint="cs"/>
          <w:vertAlign w:val="superscript"/>
          <w:rtl/>
        </w:rPr>
        <w:t>)</w:t>
      </w:r>
      <w:r>
        <w:rPr>
          <w:rtl/>
          <w:lang w:bidi="ar-BH"/>
        </w:rPr>
        <w:t>.</w:t>
      </w:r>
    </w:p>
    <w:p w14:paraId="41B1F907" w14:textId="1A0B4C68" w:rsidR="008A72C9" w:rsidRDefault="008A72C9" w:rsidP="008A72C9">
      <w:pPr>
        <w:pStyle w:val="a0"/>
        <w:bidi/>
        <w:rPr>
          <w:rtl/>
        </w:rPr>
      </w:pPr>
      <w:r>
        <w:rPr>
          <w:rtl/>
          <w:lang w:bidi="ar-BH"/>
        </w:rPr>
        <w:t>3- صحيحة زيد الشحام</w:t>
      </w:r>
      <w:r>
        <w:rPr>
          <w:rFonts w:hint="cs"/>
          <w:rtl/>
        </w:rPr>
        <w:t>، قال: "</w:t>
      </w:r>
      <w:r w:rsidRPr="00E1226F">
        <w:rPr>
          <w:szCs w:val="28"/>
          <w:rtl/>
          <w:lang w:bidi="ar-BH"/>
        </w:rPr>
        <w:t>سَأَلْتُ أَبَا عَبْدِ الله عَلَيْهِ السَّلاَمُ عَنْ قَوْلِ الله عَزَّ وَجَلَّ</w:t>
      </w:r>
      <w:r w:rsidRPr="00E1226F">
        <w:rPr>
          <w:rFonts w:ascii="Times New Roman" w:hAnsi="Times New Roman" w:cs="Times New Roman" w:hint="cs"/>
          <w:szCs w:val="28"/>
          <w:rtl/>
          <w:lang w:bidi="ar-BH"/>
        </w:rPr>
        <w:t>‌</w:t>
      </w:r>
      <w:r w:rsidRPr="00E1226F">
        <w:rPr>
          <w:szCs w:val="28"/>
          <w:rtl/>
          <w:lang w:bidi="ar-BH"/>
        </w:rPr>
        <w:t xml:space="preserve">: </w:t>
      </w:r>
      <w:r>
        <w:rPr>
          <w:rFonts w:ascii="Simplified Arabic" w:hAnsi="Simplified Arabic"/>
          <w:rtl/>
        </w:rPr>
        <w:t>﴿</w:t>
      </w:r>
      <w:r w:rsidRPr="00E1226F">
        <w:rPr>
          <w:szCs w:val="28"/>
          <w:rtl/>
          <w:lang w:bidi="ar-BH"/>
        </w:rPr>
        <w:t xml:space="preserve">فَاجْتَنِبُوا اَلرِّجْسَ مِنَ </w:t>
      </w:r>
      <w:proofErr w:type="spellStart"/>
      <w:r w:rsidRPr="00E1226F">
        <w:rPr>
          <w:szCs w:val="28"/>
          <w:rtl/>
          <w:lang w:bidi="ar-BH"/>
        </w:rPr>
        <w:t>اَلْأَوْثٰانِ</w:t>
      </w:r>
      <w:proofErr w:type="spellEnd"/>
      <w:r w:rsidRPr="00E1226F">
        <w:rPr>
          <w:szCs w:val="28"/>
          <w:rtl/>
          <w:lang w:bidi="ar-BH"/>
        </w:rPr>
        <w:t xml:space="preserve"> وَاِجْتَنِبُوا قَوْلَ اَلزُّورِ</w:t>
      </w:r>
      <w:r>
        <w:rPr>
          <w:rFonts w:ascii="Simplified Arabic" w:hAnsi="Simplified Arabic"/>
          <w:rtl/>
        </w:rPr>
        <w:t>﴾</w:t>
      </w:r>
      <w:r w:rsidRPr="00E1226F">
        <w:rPr>
          <w:szCs w:val="28"/>
          <w:rtl/>
          <w:lang w:bidi="ar-BH"/>
        </w:rPr>
        <w:t>؟ فَقَالَ</w:t>
      </w:r>
      <w:r w:rsidRPr="00E1226F">
        <w:rPr>
          <w:rFonts w:ascii="Times New Roman" w:hAnsi="Times New Roman" w:cs="Times New Roman" w:hint="cs"/>
          <w:szCs w:val="28"/>
          <w:rtl/>
          <w:lang w:bidi="ar-BH"/>
        </w:rPr>
        <w:t>‌</w:t>
      </w:r>
      <w:r w:rsidRPr="00E1226F">
        <w:rPr>
          <w:szCs w:val="28"/>
          <w:rtl/>
          <w:lang w:bidi="ar-BH"/>
        </w:rPr>
        <w:t>: الرِّجْسُ</w:t>
      </w:r>
      <w:r w:rsidRPr="00E1226F">
        <w:rPr>
          <w:rFonts w:ascii="Times New Roman" w:hAnsi="Times New Roman" w:cs="Times New Roman" w:hint="cs"/>
          <w:szCs w:val="28"/>
          <w:rtl/>
          <w:lang w:bidi="ar-BH"/>
        </w:rPr>
        <w:t>‌</w:t>
      </w:r>
      <w:r w:rsidRPr="00E1226F">
        <w:rPr>
          <w:szCs w:val="28"/>
          <w:rtl/>
          <w:lang w:bidi="ar-BH"/>
        </w:rPr>
        <w:t xml:space="preserve"> </w:t>
      </w:r>
      <w:r w:rsidRPr="00E1226F">
        <w:rPr>
          <w:rFonts w:ascii="mylotus" w:hAnsi="mylotus" w:hint="cs"/>
          <w:szCs w:val="28"/>
          <w:rtl/>
          <w:lang w:bidi="ar-BH"/>
        </w:rPr>
        <w:t>مِنَ</w:t>
      </w:r>
      <w:r w:rsidRPr="00E1226F">
        <w:rPr>
          <w:szCs w:val="28"/>
          <w:rtl/>
          <w:lang w:bidi="ar-BH"/>
        </w:rPr>
        <w:t xml:space="preserve"> </w:t>
      </w:r>
      <w:r w:rsidRPr="00E1226F">
        <w:rPr>
          <w:rFonts w:ascii="mylotus" w:hAnsi="mylotus" w:hint="cs"/>
          <w:szCs w:val="28"/>
          <w:rtl/>
          <w:lang w:bidi="ar-BH"/>
        </w:rPr>
        <w:t>الْأَوْثَانِ</w:t>
      </w:r>
      <w:r w:rsidRPr="00E1226F">
        <w:rPr>
          <w:rFonts w:ascii="Times New Roman" w:hAnsi="Times New Roman" w:cs="Times New Roman" w:hint="cs"/>
          <w:szCs w:val="28"/>
          <w:rtl/>
          <w:lang w:bidi="ar-BH"/>
        </w:rPr>
        <w:t>‌</w:t>
      </w:r>
      <w:r w:rsidRPr="00E1226F">
        <w:rPr>
          <w:szCs w:val="28"/>
          <w:rtl/>
          <w:lang w:bidi="ar-BH"/>
        </w:rPr>
        <w:t xml:space="preserve">: </w:t>
      </w:r>
      <w:r w:rsidRPr="00E1226F">
        <w:rPr>
          <w:rFonts w:ascii="mylotus" w:hAnsi="mylotus" w:hint="cs"/>
          <w:szCs w:val="28"/>
          <w:rtl/>
          <w:lang w:bidi="ar-BH"/>
        </w:rPr>
        <w:t>الشِّطْرَنْجُ</w:t>
      </w:r>
      <w:r w:rsidRPr="00E1226F">
        <w:rPr>
          <w:rFonts w:ascii="Times New Roman" w:hAnsi="Times New Roman" w:cs="Times New Roman" w:hint="cs"/>
          <w:szCs w:val="28"/>
          <w:rtl/>
          <w:lang w:bidi="ar-BH"/>
        </w:rPr>
        <w:t>‌</w:t>
      </w:r>
      <w:r w:rsidRPr="00E1226F">
        <w:rPr>
          <w:rFonts w:ascii="mylotus" w:hAnsi="mylotus" w:hint="cs"/>
          <w:szCs w:val="28"/>
          <w:rtl/>
          <w:lang w:bidi="ar-BH"/>
        </w:rPr>
        <w:t>،</w:t>
      </w:r>
      <w:r w:rsidRPr="00E1226F">
        <w:rPr>
          <w:szCs w:val="28"/>
          <w:rtl/>
          <w:lang w:bidi="ar-BH"/>
        </w:rPr>
        <w:t xml:space="preserve"> </w:t>
      </w:r>
      <w:r w:rsidRPr="00E1226F">
        <w:rPr>
          <w:rFonts w:ascii="mylotus" w:hAnsi="mylotus" w:hint="cs"/>
          <w:szCs w:val="28"/>
          <w:rtl/>
          <w:lang w:bidi="ar-BH"/>
        </w:rPr>
        <w:t>وَ</w:t>
      </w:r>
      <w:r w:rsidRPr="00E1226F">
        <w:rPr>
          <w:szCs w:val="28"/>
          <w:rtl/>
          <w:lang w:bidi="ar-BH"/>
        </w:rPr>
        <w:t>قَوْلُ الزُّورِ: الْغِنَاءُ</w:t>
      </w:r>
      <w:r w:rsidRPr="00E1226F">
        <w:rPr>
          <w:rFonts w:ascii="Times New Roman" w:hAnsi="Times New Roman" w:cs="Times New Roman" w:hint="cs"/>
          <w:szCs w:val="28"/>
          <w:rtl/>
          <w:lang w:bidi="ar-BH"/>
        </w:rPr>
        <w:t>‌</w:t>
      </w:r>
      <w:r>
        <w:rPr>
          <w:rtl/>
          <w:lang w:bidi="ar-BH"/>
        </w:rPr>
        <w:t>"</w:t>
      </w:r>
      <w:r>
        <w:rPr>
          <w:rFonts w:hint="cs"/>
          <w:vertAlign w:val="superscript"/>
          <w:rtl/>
        </w:rPr>
        <w:t>(</w:t>
      </w:r>
      <w:r>
        <w:rPr>
          <w:rStyle w:val="ac"/>
          <w:rtl/>
        </w:rPr>
        <w:footnoteReference w:id="9"/>
      </w:r>
      <w:r>
        <w:rPr>
          <w:rFonts w:hint="cs"/>
          <w:vertAlign w:val="superscript"/>
          <w:rtl/>
        </w:rPr>
        <w:t>)</w:t>
      </w:r>
      <w:r>
        <w:rPr>
          <w:rtl/>
          <w:lang w:bidi="ar-BH"/>
        </w:rPr>
        <w:t>. أي أن الشطرنج حرام.</w:t>
      </w:r>
    </w:p>
    <w:p w14:paraId="63AB68DE" w14:textId="77777777" w:rsidR="008A72C9" w:rsidRDefault="008A72C9" w:rsidP="008A72C9">
      <w:pPr>
        <w:pStyle w:val="a0"/>
        <w:bidi/>
        <w:rPr>
          <w:rtl/>
        </w:rPr>
      </w:pPr>
      <w:r>
        <w:rPr>
          <w:rtl/>
          <w:lang w:bidi="ar-BH"/>
        </w:rPr>
        <w:t xml:space="preserve">4- معتبرة مسعدة </w:t>
      </w:r>
      <w:r>
        <w:rPr>
          <w:rFonts w:hint="cs"/>
          <w:rtl/>
        </w:rPr>
        <w:t xml:space="preserve">بن زياد </w:t>
      </w:r>
      <w:r>
        <w:rPr>
          <w:rtl/>
          <w:lang w:bidi="ar-BH"/>
        </w:rPr>
        <w:t>-بناء على الاعتبار-</w:t>
      </w:r>
      <w:r>
        <w:rPr>
          <w:rFonts w:hint="cs"/>
          <w:rtl/>
        </w:rPr>
        <w:t>،</w:t>
      </w:r>
      <w:r>
        <w:rPr>
          <w:rtl/>
          <w:lang w:bidi="ar-BH"/>
        </w:rPr>
        <w:t xml:space="preserve"> عن</w:t>
      </w:r>
      <w:r>
        <w:rPr>
          <w:rFonts w:hint="cs"/>
          <w:rtl/>
        </w:rPr>
        <w:t xml:space="preserve"> أبي عبدالله</w:t>
      </w:r>
      <w:r>
        <w:rPr>
          <w:rtl/>
          <w:lang w:bidi="ar-BH"/>
        </w:rPr>
        <w:t xml:space="preserve"> (ع)</w:t>
      </w:r>
      <w:r>
        <w:rPr>
          <w:rFonts w:hint="cs"/>
          <w:rtl/>
        </w:rPr>
        <w:t xml:space="preserve"> أنه</w:t>
      </w:r>
      <w:r>
        <w:rPr>
          <w:rtl/>
          <w:lang w:bidi="ar-BH"/>
        </w:rPr>
        <w:t xml:space="preserve"> سئل عن الشطرنج، فقال: "</w:t>
      </w:r>
      <w:r w:rsidRPr="00111BA5">
        <w:rPr>
          <w:szCs w:val="28"/>
          <w:rtl/>
          <w:lang w:bidi="ar-BH"/>
        </w:rPr>
        <w:t>دَعُوا الْمَجُوسِيَّةَ لِأَهْلِهَا، لَعَنَهَا الله</w:t>
      </w:r>
      <w:r>
        <w:rPr>
          <w:rtl/>
          <w:lang w:bidi="ar-BH"/>
        </w:rPr>
        <w:t>"</w:t>
      </w:r>
      <w:r>
        <w:rPr>
          <w:rFonts w:hint="cs"/>
          <w:vertAlign w:val="superscript"/>
          <w:rtl/>
        </w:rPr>
        <w:t>(</w:t>
      </w:r>
      <w:r>
        <w:rPr>
          <w:rStyle w:val="ac"/>
          <w:rtl/>
        </w:rPr>
        <w:footnoteReference w:id="10"/>
      </w:r>
      <w:r>
        <w:rPr>
          <w:rFonts w:hint="cs"/>
          <w:vertAlign w:val="superscript"/>
          <w:rtl/>
        </w:rPr>
        <w:t>)</w:t>
      </w:r>
      <w:r>
        <w:rPr>
          <w:rtl/>
          <w:lang w:bidi="ar-BH"/>
        </w:rPr>
        <w:t>.</w:t>
      </w:r>
    </w:p>
    <w:p w14:paraId="41E2F8FF" w14:textId="77777777" w:rsidR="008A72C9" w:rsidRDefault="008A72C9" w:rsidP="008A72C9">
      <w:pPr>
        <w:pStyle w:val="a0"/>
        <w:bidi/>
        <w:rPr>
          <w:rtl/>
        </w:rPr>
      </w:pPr>
      <w:r>
        <w:rPr>
          <w:rtl/>
          <w:lang w:bidi="ar-BH"/>
        </w:rPr>
        <w:t>5- موثق السكوني، عن الصادق (ع)</w:t>
      </w:r>
      <w:r>
        <w:rPr>
          <w:rFonts w:hint="cs"/>
          <w:rtl/>
        </w:rPr>
        <w:t xml:space="preserve"> قال</w:t>
      </w:r>
      <w:r>
        <w:rPr>
          <w:rtl/>
          <w:lang w:bidi="ar-BH"/>
        </w:rPr>
        <w:t xml:space="preserve">: " </w:t>
      </w:r>
      <w:proofErr w:type="spellStart"/>
      <w:r w:rsidRPr="00355AD5">
        <w:rPr>
          <w:szCs w:val="28"/>
          <w:rtl/>
          <w:lang w:bidi="ar-BH"/>
        </w:rPr>
        <w:t>نَهىٰ</w:t>
      </w:r>
      <w:proofErr w:type="spellEnd"/>
      <w:r w:rsidRPr="00355AD5">
        <w:rPr>
          <w:szCs w:val="28"/>
          <w:rtl/>
          <w:lang w:bidi="ar-BH"/>
        </w:rPr>
        <w:t xml:space="preserve"> رَسُولُ الله </w:t>
      </w:r>
      <w:r>
        <w:rPr>
          <w:rFonts w:hint="cs"/>
          <w:rtl/>
        </w:rPr>
        <w:t>(ص)</w:t>
      </w:r>
      <w:r w:rsidRPr="00355AD5">
        <w:rPr>
          <w:szCs w:val="28"/>
          <w:rtl/>
          <w:lang w:bidi="ar-BH"/>
        </w:rPr>
        <w:t xml:space="preserve"> عَنِ اللَّعِبِ بِالشِّطْرَنْجِ وَالنَّرْدِ</w:t>
      </w:r>
      <w:r>
        <w:rPr>
          <w:rtl/>
          <w:lang w:bidi="ar-BH"/>
        </w:rPr>
        <w:t>"</w:t>
      </w:r>
      <w:r>
        <w:rPr>
          <w:rFonts w:hint="cs"/>
          <w:vertAlign w:val="superscript"/>
          <w:rtl/>
        </w:rPr>
        <w:t>(</w:t>
      </w:r>
      <w:r>
        <w:rPr>
          <w:rStyle w:val="ac"/>
          <w:rtl/>
        </w:rPr>
        <w:footnoteReference w:id="11"/>
      </w:r>
      <w:r>
        <w:rPr>
          <w:rFonts w:hint="cs"/>
          <w:vertAlign w:val="superscript"/>
          <w:rtl/>
        </w:rPr>
        <w:t>)</w:t>
      </w:r>
      <w:r>
        <w:rPr>
          <w:rtl/>
          <w:lang w:bidi="ar-BH"/>
        </w:rPr>
        <w:t>.</w:t>
      </w:r>
    </w:p>
    <w:p w14:paraId="3B771B24" w14:textId="77777777" w:rsidR="008A72C9" w:rsidRDefault="008A72C9" w:rsidP="008A72C9">
      <w:pPr>
        <w:pStyle w:val="a0"/>
        <w:bidi/>
        <w:rPr>
          <w:rtl/>
        </w:rPr>
      </w:pPr>
      <w:r>
        <w:rPr>
          <w:rtl/>
          <w:lang w:bidi="ar-BH"/>
        </w:rPr>
        <w:t xml:space="preserve">6- ما في </w:t>
      </w:r>
      <w:proofErr w:type="spellStart"/>
      <w:r>
        <w:rPr>
          <w:rtl/>
          <w:lang w:bidi="ar-BH"/>
        </w:rPr>
        <w:t>مستطرفات</w:t>
      </w:r>
      <w:proofErr w:type="spellEnd"/>
      <w:r>
        <w:rPr>
          <w:rtl/>
          <w:lang w:bidi="ar-BH"/>
        </w:rPr>
        <w:t xml:space="preserve"> السرائر عن جامع البزنطي -وصحة</w:t>
      </w:r>
      <w:r>
        <w:rPr>
          <w:rFonts w:hint="cs"/>
          <w:rtl/>
        </w:rPr>
        <w:t xml:space="preserve"> </w:t>
      </w:r>
      <w:r>
        <w:rPr>
          <w:rtl/>
          <w:lang w:bidi="ar-BH"/>
        </w:rPr>
        <w:t xml:space="preserve">طريق </w:t>
      </w:r>
      <w:proofErr w:type="spellStart"/>
      <w:r>
        <w:rPr>
          <w:rtl/>
          <w:lang w:bidi="ar-BH"/>
        </w:rPr>
        <w:t>مستطرفات</w:t>
      </w:r>
      <w:proofErr w:type="spellEnd"/>
      <w:r>
        <w:rPr>
          <w:rtl/>
          <w:lang w:bidi="ar-BH"/>
        </w:rPr>
        <w:t xml:space="preserve"> السرائر إلى جامع البزنطي محل بحث</w:t>
      </w:r>
      <w:r>
        <w:rPr>
          <w:rFonts w:hint="cs"/>
          <w:rtl/>
        </w:rPr>
        <w:t>-</w:t>
      </w:r>
      <w:r>
        <w:rPr>
          <w:rtl/>
          <w:lang w:bidi="ar-BH"/>
        </w:rPr>
        <w:t xml:space="preserve">، عن أبي بصير، </w:t>
      </w:r>
      <w:r>
        <w:rPr>
          <w:rFonts w:hint="cs"/>
          <w:rtl/>
        </w:rPr>
        <w:t xml:space="preserve">عن أبي عبدالله </w:t>
      </w:r>
      <w:r>
        <w:rPr>
          <w:rtl/>
          <w:lang w:bidi="ar-BH"/>
        </w:rPr>
        <w:t>(ع)</w:t>
      </w:r>
      <w:r>
        <w:rPr>
          <w:rFonts w:hint="cs"/>
          <w:rtl/>
        </w:rPr>
        <w:t>، قال</w:t>
      </w:r>
      <w:r>
        <w:rPr>
          <w:rtl/>
          <w:lang w:bidi="ar-BH"/>
        </w:rPr>
        <w:t>: "</w:t>
      </w:r>
      <w:r w:rsidRPr="006C4537">
        <w:rPr>
          <w:szCs w:val="28"/>
          <w:rtl/>
          <w:lang w:bidi="ar-BH"/>
        </w:rPr>
        <w:t>بَيْعُ اَلشِّطْرَنْجِ حَرَامٌ</w:t>
      </w:r>
      <w:r>
        <w:rPr>
          <w:rFonts w:hint="cs"/>
          <w:rtl/>
        </w:rPr>
        <w:t>،</w:t>
      </w:r>
      <w:r w:rsidRPr="006C4537">
        <w:rPr>
          <w:szCs w:val="28"/>
          <w:rtl/>
          <w:lang w:bidi="ar-BH"/>
        </w:rPr>
        <w:t xml:space="preserve"> وَأَكْلُ ثَمَنِهِ سُحْتٌ</w:t>
      </w:r>
      <w:r>
        <w:rPr>
          <w:rFonts w:hint="cs"/>
          <w:rtl/>
        </w:rPr>
        <w:t>،</w:t>
      </w:r>
      <w:r w:rsidRPr="006C4537">
        <w:rPr>
          <w:szCs w:val="28"/>
          <w:rtl/>
          <w:lang w:bidi="ar-BH"/>
        </w:rPr>
        <w:t xml:space="preserve"> وَاِتِّخَاذُهَا كُفْرٌ</w:t>
      </w:r>
      <w:r>
        <w:rPr>
          <w:rFonts w:hint="cs"/>
          <w:rtl/>
        </w:rPr>
        <w:t>،</w:t>
      </w:r>
      <w:r w:rsidRPr="006C4537">
        <w:rPr>
          <w:szCs w:val="28"/>
          <w:rtl/>
          <w:lang w:bidi="ar-BH"/>
        </w:rPr>
        <w:t xml:space="preserve"> وَاَللَّعِبُ بِهَا شِرْكٌ</w:t>
      </w:r>
      <w:r>
        <w:rPr>
          <w:rFonts w:hint="cs"/>
          <w:rtl/>
        </w:rPr>
        <w:t>،</w:t>
      </w:r>
      <w:r w:rsidRPr="006C4537">
        <w:rPr>
          <w:szCs w:val="28"/>
          <w:rtl/>
          <w:lang w:bidi="ar-BH"/>
        </w:rPr>
        <w:t xml:space="preserve"> وَاَلسَّلاَمُ عَلَى اَللاَّهِي بِهَا مَعْصِيَةٌ</w:t>
      </w:r>
      <w:r>
        <w:rPr>
          <w:rFonts w:hint="cs"/>
          <w:rtl/>
        </w:rPr>
        <w:t xml:space="preserve"> </w:t>
      </w:r>
      <w:r w:rsidRPr="006C4537">
        <w:rPr>
          <w:szCs w:val="28"/>
          <w:rtl/>
          <w:lang w:bidi="ar-BH"/>
        </w:rPr>
        <w:t>وَكَبِيرَةٌ مُوبِقَةٌ</w:t>
      </w:r>
      <w:r>
        <w:rPr>
          <w:rFonts w:hint="cs"/>
          <w:rtl/>
        </w:rPr>
        <w:t>،</w:t>
      </w:r>
      <w:r w:rsidRPr="006C4537">
        <w:rPr>
          <w:szCs w:val="28"/>
          <w:rtl/>
          <w:lang w:bidi="ar-BH"/>
        </w:rPr>
        <w:t xml:space="preserve"> وَاَلْخَائِضُ فِيهَا يَدَهُ كَالْخَائِضِ يَدَهُ فِي لَحْمِ اَلْخِنْزِيرِ</w:t>
      </w:r>
      <w:r>
        <w:rPr>
          <w:rFonts w:hint="cs"/>
          <w:rtl/>
        </w:rPr>
        <w:t xml:space="preserve"> </w:t>
      </w:r>
      <w:r w:rsidRPr="006C4537">
        <w:rPr>
          <w:szCs w:val="28"/>
          <w:rtl/>
          <w:lang w:bidi="ar-BH"/>
        </w:rPr>
        <w:t>لاَ صَلاَةَ لَهُ حَتَّى يَغْسِلَ يَدَهُ كَمَا يَغْسِلُهَا مِنْ مَسِّ لَحْمِ اَلْخِنْزِيرِ</w:t>
      </w:r>
      <w:r>
        <w:rPr>
          <w:rFonts w:hint="cs"/>
          <w:rtl/>
        </w:rPr>
        <w:t>،</w:t>
      </w:r>
      <w:r w:rsidRPr="006C4537">
        <w:rPr>
          <w:szCs w:val="28"/>
          <w:rtl/>
          <w:lang w:bidi="ar-BH"/>
        </w:rPr>
        <w:t xml:space="preserve"> وَاَلنَّاظِرُ إِلَيْهَا كَالنَّاظِرِ فِي فَرْجِ أُمِّهِ</w:t>
      </w:r>
      <w:r>
        <w:rPr>
          <w:rFonts w:hint="cs"/>
          <w:rtl/>
        </w:rPr>
        <w:t>،</w:t>
      </w:r>
      <w:r w:rsidRPr="006C4537">
        <w:rPr>
          <w:szCs w:val="28"/>
          <w:rtl/>
          <w:lang w:bidi="ar-BH"/>
        </w:rPr>
        <w:t xml:space="preserve"> وَاَللاَّهِي بِهَا وَاَلنَّاظِرُ إِلَيْهَا فِي حَالِ مَا يُلْهَى بِهَا وَاَلسَّلاَمُ عَلَى اَللاَّهِي بِهَا فِي حَالَتِهِ تِلْكَ فِي اَلْإِثْمِ سَوَاءٌ</w:t>
      </w:r>
      <w:r>
        <w:rPr>
          <w:rFonts w:hint="cs"/>
          <w:rtl/>
        </w:rPr>
        <w:t>،</w:t>
      </w:r>
      <w:r w:rsidRPr="006C4537">
        <w:rPr>
          <w:szCs w:val="28"/>
          <w:rtl/>
          <w:lang w:bidi="ar-BH"/>
        </w:rPr>
        <w:t xml:space="preserve"> وَمَنْ جَلَسَ عَلَى اَللَّعِبِ بِهَا فَقَدْ تَبَوَّأَ مَقْعَدَهُ مِنَ اَلنَّارِ</w:t>
      </w:r>
      <w:r>
        <w:rPr>
          <w:rFonts w:hint="cs"/>
          <w:rtl/>
        </w:rPr>
        <w:t xml:space="preserve"> </w:t>
      </w:r>
      <w:r w:rsidRPr="006C4537">
        <w:rPr>
          <w:szCs w:val="28"/>
          <w:rtl/>
          <w:lang w:bidi="ar-BH"/>
        </w:rPr>
        <w:t xml:space="preserve">وَكَانَ </w:t>
      </w:r>
      <w:r w:rsidRPr="006C4537">
        <w:rPr>
          <w:szCs w:val="28"/>
          <w:rtl/>
          <w:lang w:bidi="ar-BH"/>
        </w:rPr>
        <w:lastRenderedPageBreak/>
        <w:t>عَيْشُهُ ذَلِكَ حَسْرَةً عَلَيْهِ فِي اَلْقِيَامَةِ</w:t>
      </w:r>
      <w:r w:rsidRPr="006C4537">
        <w:rPr>
          <w:rFonts w:ascii="Times New Roman" w:hAnsi="Times New Roman" w:cs="Times New Roman" w:hint="cs"/>
          <w:szCs w:val="28"/>
          <w:rtl/>
          <w:lang w:bidi="ar-BH"/>
        </w:rPr>
        <w:t>‌</w:t>
      </w:r>
      <w:r w:rsidRPr="006C4537">
        <w:rPr>
          <w:szCs w:val="28"/>
          <w:rtl/>
          <w:lang w:bidi="ar-BH"/>
        </w:rPr>
        <w:t>، وَ إِيَّاكَ وَمُجَالَسَةَ اَللاَّهِي وَاَلْمَغْرُورِ بِلَعِبِهَا فَإِنَّهَا مِنَ اَلْمَجَالِسِ اَلَّتِي بَاءَ أَهْلُهَا بِسَخَطٍ مِنَ اَللَّهِ يَتَوَقَّعُونَهُ فِي كُلِّ سَاعَةٍ فَيَعُمُّكَ مَعَهُمْ</w:t>
      </w:r>
      <w:r w:rsidRPr="006C4537">
        <w:rPr>
          <w:rFonts w:ascii="Times New Roman" w:hAnsi="Times New Roman" w:cs="Times New Roman" w:hint="cs"/>
          <w:szCs w:val="28"/>
          <w:rtl/>
          <w:lang w:bidi="ar-BH"/>
        </w:rPr>
        <w:t>‌</w:t>
      </w:r>
      <w:r>
        <w:rPr>
          <w:rtl/>
          <w:lang w:bidi="ar-BH"/>
        </w:rPr>
        <w:t>"</w:t>
      </w:r>
      <w:r>
        <w:rPr>
          <w:vertAlign w:val="superscript"/>
        </w:rPr>
        <w:t>)</w:t>
      </w:r>
      <w:r>
        <w:rPr>
          <w:rStyle w:val="ac"/>
          <w:rtl/>
        </w:rPr>
        <w:footnoteReference w:id="12"/>
      </w:r>
      <w:r>
        <w:rPr>
          <w:rFonts w:hint="cs"/>
          <w:vertAlign w:val="superscript"/>
          <w:rtl/>
        </w:rPr>
        <w:t>)</w:t>
      </w:r>
      <w:r>
        <w:rPr>
          <w:rtl/>
          <w:lang w:bidi="ar-BH"/>
        </w:rPr>
        <w:t>. فهل يفهم من سياق الرواية في التشديد والتغليظ بالحرمة أن الشارع يريد سد باب المخاطرة المالية بأي وجه؟ وهل يستفاد من سياق الرواية أن للشطرنج موضوعية؟</w:t>
      </w:r>
    </w:p>
    <w:p w14:paraId="23A420BD" w14:textId="77777777" w:rsidR="008A72C9" w:rsidRPr="008A72C9" w:rsidRDefault="008A72C9" w:rsidP="008A72C9">
      <w:pPr>
        <w:pStyle w:val="a0"/>
        <w:bidi/>
        <w:rPr>
          <w:szCs w:val="24"/>
          <w:rtl/>
        </w:rPr>
      </w:pPr>
    </w:p>
    <w:p w14:paraId="72502CC5" w14:textId="0CF6D1DC" w:rsidR="00EF47A8" w:rsidRPr="00EF47A8" w:rsidRDefault="00EF47A8" w:rsidP="008A72C9">
      <w:pPr>
        <w:pStyle w:val="a0"/>
        <w:bidi/>
        <w:ind w:firstLine="0"/>
        <w:jc w:val="center"/>
        <w:rPr>
          <w:rFonts w:ascii="mylotus" w:hAnsi="mylotus"/>
          <w:b/>
          <w:bCs/>
          <w:sz w:val="34"/>
          <w:szCs w:val="34"/>
          <w:rtl/>
          <w:lang w:bidi="ar-BH"/>
        </w:rPr>
      </w:pPr>
      <w:r w:rsidRPr="00EF47A8">
        <w:rPr>
          <w:rFonts w:ascii="mylotus" w:hAnsi="mylotus"/>
          <w:b/>
          <w:bCs/>
          <w:sz w:val="34"/>
          <w:szCs w:val="34"/>
          <w:rtl/>
          <w:lang w:bidi="ar-BH"/>
        </w:rPr>
        <w:t>والحمدُ لله رب العالمين</w:t>
      </w:r>
      <w:r w:rsidR="00153FDD">
        <w:rPr>
          <w:rFonts w:ascii="mylotus" w:hAnsi="mylotus" w:hint="cs"/>
          <w:b/>
          <w:bCs/>
          <w:sz w:val="34"/>
          <w:szCs w:val="34"/>
          <w:rtl/>
          <w:lang w:bidi="ar-BH"/>
        </w:rPr>
        <w:t>.</w:t>
      </w:r>
    </w:p>
    <w:sectPr w:rsidR="00EF47A8" w:rsidRPr="00EF47A8" w:rsidSect="006C6C7F">
      <w:headerReference w:type="even" r:id="rId8"/>
      <w:headerReference w:type="default" r:id="rId9"/>
      <w:footerReference w:type="even" r:id="rId10"/>
      <w:footerReference w:type="default" r:id="rId11"/>
      <w:headerReference w:type="first" r:id="rId12"/>
      <w:footerReference w:type="first" r:id="rId13"/>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DA9CFA" w14:textId="77777777" w:rsidR="00B83C9F" w:rsidRDefault="00B83C9F" w:rsidP="00A5027D">
      <w:pPr>
        <w:spacing w:line="240" w:lineRule="auto"/>
      </w:pPr>
      <w:r>
        <w:separator/>
      </w:r>
    </w:p>
  </w:endnote>
  <w:endnote w:type="continuationSeparator" w:id="0">
    <w:p w14:paraId="25C7A075" w14:textId="77777777" w:rsidR="00B83C9F" w:rsidRDefault="00B83C9F"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lmohsin">
    <w:altName w:val="Arial"/>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52BC1C" w14:textId="77777777" w:rsidR="00153FDD" w:rsidRDefault="00153FDD">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153FDD" w:rsidRPr="00153FDD">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6D8022" w14:textId="77777777" w:rsidR="00153FDD" w:rsidRDefault="00153FDD">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45EF1E" w14:textId="77777777" w:rsidR="00B83C9F" w:rsidRDefault="00B83C9F" w:rsidP="00A5027D">
      <w:pPr>
        <w:spacing w:line="240" w:lineRule="auto"/>
      </w:pPr>
      <w:r>
        <w:separator/>
      </w:r>
    </w:p>
  </w:footnote>
  <w:footnote w:type="continuationSeparator" w:id="0">
    <w:p w14:paraId="115978EB" w14:textId="77777777" w:rsidR="00B83C9F" w:rsidRDefault="00B83C9F" w:rsidP="00A5027D">
      <w:pPr>
        <w:spacing w:line="240" w:lineRule="auto"/>
      </w:pPr>
      <w:r>
        <w:continuationSeparator/>
      </w:r>
    </w:p>
  </w:footnote>
  <w:footnote w:id="1">
    <w:p w14:paraId="6358F903" w14:textId="77777777" w:rsidR="008A72C9" w:rsidRPr="008A72C9" w:rsidRDefault="008A72C9" w:rsidP="008A72C9">
      <w:pPr>
        <w:pStyle w:val="a4"/>
        <w:rPr>
          <w:rtl/>
        </w:rPr>
      </w:pPr>
      <w:r w:rsidRPr="008A72C9">
        <w:rPr>
          <w:rFonts w:hint="cs"/>
          <w:rtl/>
        </w:rPr>
        <w:t>(</w:t>
      </w:r>
      <w:r w:rsidRPr="008A72C9">
        <w:rPr>
          <w:rStyle w:val="ac"/>
          <w:vertAlign w:val="baseline"/>
        </w:rPr>
        <w:footnoteRef/>
      </w:r>
      <w:r w:rsidRPr="008A72C9">
        <w:rPr>
          <w:rFonts w:hint="cs"/>
          <w:rtl/>
        </w:rPr>
        <w:t>)</w:t>
      </w:r>
      <w:r w:rsidRPr="008A72C9">
        <w:rPr>
          <w:rtl/>
        </w:rPr>
        <w:t xml:space="preserve"> </w:t>
      </w:r>
      <w:r w:rsidRPr="008A72C9">
        <w:rPr>
          <w:rFonts w:hint="cs"/>
          <w:rtl/>
        </w:rPr>
        <w:t xml:space="preserve">كتاب الإجارة، السيد محمد سعيد الحكيم، ج1، ص181. </w:t>
      </w:r>
    </w:p>
  </w:footnote>
  <w:footnote w:id="2">
    <w:p w14:paraId="6755C61F" w14:textId="77777777" w:rsidR="008A72C9" w:rsidRPr="008A72C9" w:rsidRDefault="008A72C9" w:rsidP="008A72C9">
      <w:pPr>
        <w:pStyle w:val="a4"/>
      </w:pPr>
      <w:r w:rsidRPr="008A72C9">
        <w:rPr>
          <w:rFonts w:hint="cs"/>
          <w:rtl/>
        </w:rPr>
        <w:t>(</w:t>
      </w:r>
      <w:r w:rsidRPr="008A72C9">
        <w:rPr>
          <w:rStyle w:val="ac"/>
          <w:vertAlign w:val="baseline"/>
        </w:rPr>
        <w:footnoteRef/>
      </w:r>
      <w:r w:rsidRPr="008A72C9">
        <w:rPr>
          <w:rFonts w:hint="cs"/>
          <w:rtl/>
        </w:rPr>
        <w:t>)</w:t>
      </w:r>
      <w:r w:rsidRPr="008A72C9">
        <w:rPr>
          <w:rtl/>
        </w:rPr>
        <w:t xml:space="preserve"> </w:t>
      </w:r>
      <w:r w:rsidRPr="008A72C9">
        <w:rPr>
          <w:rFonts w:hint="cs"/>
          <w:rtl/>
        </w:rPr>
        <w:t>سورة المائدة: 90-91.</w:t>
      </w:r>
    </w:p>
  </w:footnote>
  <w:footnote w:id="3">
    <w:p w14:paraId="609E91E4" w14:textId="77777777" w:rsidR="008A72C9" w:rsidRPr="008A72C9" w:rsidRDefault="008A72C9" w:rsidP="008A72C9">
      <w:pPr>
        <w:pStyle w:val="a4"/>
        <w:rPr>
          <w:rtl/>
        </w:rPr>
      </w:pPr>
      <w:r w:rsidRPr="008A72C9">
        <w:rPr>
          <w:rFonts w:hint="cs"/>
          <w:rtl/>
        </w:rPr>
        <w:t>(</w:t>
      </w:r>
      <w:r w:rsidRPr="008A72C9">
        <w:rPr>
          <w:rStyle w:val="ac"/>
          <w:vertAlign w:val="baseline"/>
        </w:rPr>
        <w:footnoteRef/>
      </w:r>
      <w:r w:rsidRPr="008A72C9">
        <w:rPr>
          <w:rFonts w:hint="cs"/>
          <w:rtl/>
        </w:rPr>
        <w:t>)</w:t>
      </w:r>
      <w:r w:rsidRPr="008A72C9">
        <w:rPr>
          <w:rtl/>
        </w:rPr>
        <w:t xml:space="preserve"> </w:t>
      </w:r>
      <w:r w:rsidRPr="004A66CC">
        <w:rPr>
          <w:rFonts w:hint="cs"/>
          <w:b/>
          <w:bCs/>
          <w:rtl/>
        </w:rPr>
        <w:t>الكافي</w:t>
      </w:r>
      <w:r w:rsidRPr="008A72C9">
        <w:rPr>
          <w:rFonts w:hint="cs"/>
          <w:rtl/>
        </w:rPr>
        <w:t>، باب أن الخمر إنما حرمت لفعلها، ح2، نشر دار الحديث، ج12، ص718.</w:t>
      </w:r>
    </w:p>
  </w:footnote>
  <w:footnote w:id="4">
    <w:p w14:paraId="3E4FB09E" w14:textId="77777777" w:rsidR="008A72C9" w:rsidRPr="008A72C9" w:rsidRDefault="008A72C9" w:rsidP="008A72C9">
      <w:pPr>
        <w:pStyle w:val="a4"/>
      </w:pPr>
      <w:r w:rsidRPr="008A72C9">
        <w:rPr>
          <w:rFonts w:hint="cs"/>
          <w:rtl/>
        </w:rPr>
        <w:t>(</w:t>
      </w:r>
      <w:r w:rsidRPr="008A72C9">
        <w:rPr>
          <w:rStyle w:val="ac"/>
          <w:vertAlign w:val="baseline"/>
        </w:rPr>
        <w:footnoteRef/>
      </w:r>
      <w:r w:rsidRPr="008A72C9">
        <w:rPr>
          <w:rFonts w:hint="cs"/>
          <w:rtl/>
        </w:rPr>
        <w:t>)</w:t>
      </w:r>
      <w:r w:rsidRPr="008A72C9">
        <w:rPr>
          <w:rtl/>
        </w:rPr>
        <w:t xml:space="preserve"> </w:t>
      </w:r>
      <w:r w:rsidRPr="004A66CC">
        <w:rPr>
          <w:rFonts w:hint="cs"/>
          <w:b/>
          <w:bCs/>
          <w:rtl/>
        </w:rPr>
        <w:t>الكافي</w:t>
      </w:r>
      <w:r w:rsidRPr="008A72C9">
        <w:rPr>
          <w:rFonts w:hint="cs"/>
          <w:rtl/>
        </w:rPr>
        <w:t>، باب قراءة القرآن، ح9، نشر دار الحديث، ج6، ص150.</w:t>
      </w:r>
    </w:p>
  </w:footnote>
  <w:footnote w:id="5">
    <w:p w14:paraId="1237809B" w14:textId="77777777" w:rsidR="008A72C9" w:rsidRPr="008A72C9" w:rsidRDefault="008A72C9" w:rsidP="008A72C9">
      <w:pPr>
        <w:pStyle w:val="a4"/>
        <w:rPr>
          <w:rtl/>
        </w:rPr>
      </w:pPr>
      <w:r w:rsidRPr="008A72C9">
        <w:rPr>
          <w:rFonts w:hint="cs"/>
          <w:rtl/>
        </w:rPr>
        <w:t>(</w:t>
      </w:r>
      <w:r w:rsidRPr="008A72C9">
        <w:rPr>
          <w:rStyle w:val="ac"/>
          <w:vertAlign w:val="baseline"/>
        </w:rPr>
        <w:footnoteRef/>
      </w:r>
      <w:r w:rsidRPr="008A72C9">
        <w:rPr>
          <w:rFonts w:hint="cs"/>
          <w:rtl/>
        </w:rPr>
        <w:t xml:space="preserve">) </w:t>
      </w:r>
      <w:r w:rsidRPr="004A66CC">
        <w:rPr>
          <w:rFonts w:hint="cs"/>
          <w:b/>
          <w:bCs/>
          <w:rtl/>
        </w:rPr>
        <w:t>تهذيب الأحكام</w:t>
      </w:r>
      <w:r w:rsidRPr="008A72C9">
        <w:rPr>
          <w:rFonts w:hint="cs"/>
          <w:rtl/>
        </w:rPr>
        <w:t>، محمد بن الحسن الطوسي، كتاب الطهارة، باب آداب الأحداق الموجبة للطهارات، ح21.</w:t>
      </w:r>
    </w:p>
  </w:footnote>
  <w:footnote w:id="6">
    <w:p w14:paraId="764D80AA" w14:textId="77777777" w:rsidR="008A72C9" w:rsidRPr="008A72C9" w:rsidRDefault="008A72C9" w:rsidP="008A72C9">
      <w:pPr>
        <w:pStyle w:val="a4"/>
      </w:pPr>
      <w:r w:rsidRPr="008A72C9">
        <w:rPr>
          <w:rFonts w:hint="cs"/>
          <w:rtl/>
        </w:rPr>
        <w:t>(</w:t>
      </w:r>
      <w:r w:rsidRPr="008A72C9">
        <w:rPr>
          <w:rStyle w:val="ac"/>
          <w:vertAlign w:val="baseline"/>
        </w:rPr>
        <w:footnoteRef/>
      </w:r>
      <w:r w:rsidRPr="008A72C9">
        <w:rPr>
          <w:rFonts w:hint="cs"/>
          <w:rtl/>
        </w:rPr>
        <w:t>)</w:t>
      </w:r>
      <w:r w:rsidRPr="008A72C9">
        <w:rPr>
          <w:rtl/>
        </w:rPr>
        <w:t xml:space="preserve"> </w:t>
      </w:r>
      <w:r w:rsidRPr="004A66CC">
        <w:rPr>
          <w:rFonts w:hint="cs"/>
          <w:b/>
          <w:bCs/>
          <w:rtl/>
        </w:rPr>
        <w:t>الكافي</w:t>
      </w:r>
      <w:r w:rsidRPr="008A72C9">
        <w:rPr>
          <w:rFonts w:hint="cs"/>
          <w:rtl/>
        </w:rPr>
        <w:t xml:space="preserve">، محمد بن يعقوب </w:t>
      </w:r>
      <w:proofErr w:type="spellStart"/>
      <w:r w:rsidRPr="008A72C9">
        <w:rPr>
          <w:rFonts w:hint="cs"/>
          <w:rtl/>
        </w:rPr>
        <w:t>الكليني</w:t>
      </w:r>
      <w:proofErr w:type="spellEnd"/>
      <w:r w:rsidRPr="008A72C9">
        <w:rPr>
          <w:rFonts w:hint="cs"/>
          <w:rtl/>
        </w:rPr>
        <w:t>، كتاب الزكاة، باب من يخل له أت يأخذ الزكاة ومن لا يحل له، ح12، نشر دار الحديث، ج7، ص189.</w:t>
      </w:r>
    </w:p>
  </w:footnote>
  <w:footnote w:id="7">
    <w:p w14:paraId="164DE91B" w14:textId="77777777" w:rsidR="008A72C9" w:rsidRPr="008A72C9" w:rsidRDefault="008A72C9" w:rsidP="008A72C9">
      <w:pPr>
        <w:pStyle w:val="a4"/>
        <w:rPr>
          <w:rtl/>
        </w:rPr>
      </w:pPr>
      <w:r w:rsidRPr="008A72C9">
        <w:rPr>
          <w:rFonts w:hint="cs"/>
          <w:rtl/>
        </w:rPr>
        <w:t>(</w:t>
      </w:r>
      <w:r w:rsidRPr="008A72C9">
        <w:rPr>
          <w:rStyle w:val="ac"/>
          <w:vertAlign w:val="baseline"/>
        </w:rPr>
        <w:footnoteRef/>
      </w:r>
      <w:r w:rsidRPr="008A72C9">
        <w:rPr>
          <w:rFonts w:hint="cs"/>
          <w:rtl/>
        </w:rPr>
        <w:t>)</w:t>
      </w:r>
      <w:r w:rsidRPr="008A72C9">
        <w:rPr>
          <w:rtl/>
        </w:rPr>
        <w:t xml:space="preserve"> </w:t>
      </w:r>
      <w:r w:rsidRPr="004A66CC">
        <w:rPr>
          <w:rFonts w:hint="cs"/>
          <w:b/>
          <w:bCs/>
          <w:rtl/>
        </w:rPr>
        <w:t>الكافي</w:t>
      </w:r>
      <w:r w:rsidRPr="008A72C9">
        <w:rPr>
          <w:rFonts w:hint="cs"/>
          <w:rtl/>
        </w:rPr>
        <w:t xml:space="preserve">، كتاب المعيشة، باب القمار والنهبة، ح10، نشر دار الحديث، ج9، ص678. </w:t>
      </w:r>
    </w:p>
  </w:footnote>
  <w:footnote w:id="8">
    <w:p w14:paraId="45F4614A" w14:textId="77777777" w:rsidR="008A72C9" w:rsidRPr="008A72C9" w:rsidRDefault="008A72C9" w:rsidP="008A72C9">
      <w:pPr>
        <w:pStyle w:val="a4"/>
        <w:rPr>
          <w:rtl/>
        </w:rPr>
      </w:pPr>
      <w:r w:rsidRPr="008A72C9">
        <w:rPr>
          <w:rFonts w:hint="cs"/>
          <w:rtl/>
        </w:rPr>
        <w:t>(</w:t>
      </w:r>
      <w:r w:rsidRPr="008A72C9">
        <w:rPr>
          <w:rStyle w:val="ac"/>
          <w:vertAlign w:val="baseline"/>
        </w:rPr>
        <w:footnoteRef/>
      </w:r>
      <w:r w:rsidRPr="008A72C9">
        <w:rPr>
          <w:rFonts w:hint="cs"/>
          <w:rtl/>
        </w:rPr>
        <w:t>)</w:t>
      </w:r>
      <w:r w:rsidRPr="008A72C9">
        <w:rPr>
          <w:rtl/>
        </w:rPr>
        <w:t xml:space="preserve"> </w:t>
      </w:r>
      <w:r w:rsidRPr="004A66CC">
        <w:rPr>
          <w:rFonts w:hint="cs"/>
          <w:b/>
          <w:bCs/>
          <w:rtl/>
        </w:rPr>
        <w:t>المصدر السابق</w:t>
      </w:r>
      <w:r w:rsidRPr="008A72C9">
        <w:rPr>
          <w:rFonts w:hint="cs"/>
          <w:rtl/>
        </w:rPr>
        <w:t>، ح7، ج9، ص676.</w:t>
      </w:r>
    </w:p>
  </w:footnote>
  <w:footnote w:id="9">
    <w:p w14:paraId="4B451B5D" w14:textId="77777777" w:rsidR="008A72C9" w:rsidRPr="008A72C9" w:rsidRDefault="008A72C9" w:rsidP="008A72C9">
      <w:pPr>
        <w:pStyle w:val="a4"/>
        <w:rPr>
          <w:rtl/>
        </w:rPr>
      </w:pPr>
      <w:r w:rsidRPr="008A72C9">
        <w:rPr>
          <w:rFonts w:hint="cs"/>
          <w:rtl/>
        </w:rPr>
        <w:t>(</w:t>
      </w:r>
      <w:r w:rsidRPr="008A72C9">
        <w:rPr>
          <w:rStyle w:val="ac"/>
          <w:vertAlign w:val="baseline"/>
        </w:rPr>
        <w:footnoteRef/>
      </w:r>
      <w:r w:rsidRPr="008A72C9">
        <w:rPr>
          <w:rFonts w:hint="cs"/>
          <w:rtl/>
        </w:rPr>
        <w:t>)</w:t>
      </w:r>
      <w:r w:rsidRPr="008A72C9">
        <w:rPr>
          <w:rtl/>
        </w:rPr>
        <w:t xml:space="preserve"> </w:t>
      </w:r>
      <w:r w:rsidRPr="004A66CC">
        <w:rPr>
          <w:rFonts w:hint="cs"/>
          <w:b/>
          <w:bCs/>
          <w:rtl/>
        </w:rPr>
        <w:t>المصدر السابق</w:t>
      </w:r>
      <w:r w:rsidRPr="008A72C9">
        <w:rPr>
          <w:rFonts w:hint="cs"/>
          <w:rtl/>
        </w:rPr>
        <w:t>، ح2، ج12، ص794.</w:t>
      </w:r>
    </w:p>
  </w:footnote>
  <w:footnote w:id="10">
    <w:p w14:paraId="3537A391" w14:textId="77777777" w:rsidR="008A72C9" w:rsidRPr="008A72C9" w:rsidRDefault="008A72C9" w:rsidP="008A72C9">
      <w:pPr>
        <w:pStyle w:val="a4"/>
      </w:pPr>
      <w:r w:rsidRPr="008A72C9">
        <w:rPr>
          <w:rFonts w:hint="cs"/>
          <w:rtl/>
        </w:rPr>
        <w:t>(</w:t>
      </w:r>
      <w:r w:rsidRPr="008A72C9">
        <w:rPr>
          <w:rStyle w:val="ac"/>
          <w:vertAlign w:val="baseline"/>
        </w:rPr>
        <w:footnoteRef/>
      </w:r>
      <w:r w:rsidRPr="008A72C9">
        <w:rPr>
          <w:rFonts w:hint="cs"/>
          <w:rtl/>
        </w:rPr>
        <w:t>)</w:t>
      </w:r>
      <w:r w:rsidRPr="008A72C9">
        <w:rPr>
          <w:rtl/>
        </w:rPr>
        <w:t xml:space="preserve"> </w:t>
      </w:r>
      <w:r w:rsidRPr="004A66CC">
        <w:rPr>
          <w:rFonts w:hint="cs"/>
          <w:b/>
          <w:bCs/>
          <w:rtl/>
        </w:rPr>
        <w:t>الكافي</w:t>
      </w:r>
      <w:r w:rsidRPr="008A72C9">
        <w:rPr>
          <w:rFonts w:hint="cs"/>
          <w:rtl/>
        </w:rPr>
        <w:t>، كتاب الأشربة، باب النرد والشطرنج، ح13، نشر دار الحديث، ج12، ص799.</w:t>
      </w:r>
    </w:p>
  </w:footnote>
  <w:footnote w:id="11">
    <w:p w14:paraId="328AB0EB" w14:textId="77777777" w:rsidR="008A72C9" w:rsidRPr="008A72C9" w:rsidRDefault="008A72C9" w:rsidP="008A72C9">
      <w:pPr>
        <w:pStyle w:val="a4"/>
        <w:rPr>
          <w:rtl/>
        </w:rPr>
      </w:pPr>
      <w:r w:rsidRPr="008A72C9">
        <w:rPr>
          <w:rFonts w:hint="cs"/>
          <w:rtl/>
        </w:rPr>
        <w:t>(</w:t>
      </w:r>
      <w:r w:rsidRPr="008A72C9">
        <w:rPr>
          <w:rStyle w:val="ac"/>
          <w:vertAlign w:val="baseline"/>
        </w:rPr>
        <w:footnoteRef/>
      </w:r>
      <w:r w:rsidRPr="008A72C9">
        <w:rPr>
          <w:rFonts w:hint="cs"/>
          <w:rtl/>
        </w:rPr>
        <w:t>)</w:t>
      </w:r>
      <w:r w:rsidRPr="008A72C9">
        <w:rPr>
          <w:rtl/>
        </w:rPr>
        <w:t xml:space="preserve"> </w:t>
      </w:r>
      <w:r w:rsidRPr="004A66CC">
        <w:rPr>
          <w:rFonts w:hint="cs"/>
          <w:b/>
          <w:bCs/>
          <w:rtl/>
        </w:rPr>
        <w:t>المصدر السابق</w:t>
      </w:r>
      <w:r w:rsidRPr="008A72C9">
        <w:rPr>
          <w:rFonts w:hint="cs"/>
          <w:rtl/>
        </w:rPr>
        <w:t>، ح17، ج12، ص801.</w:t>
      </w:r>
    </w:p>
  </w:footnote>
  <w:footnote w:id="12">
    <w:p w14:paraId="0DB1E68A" w14:textId="77777777" w:rsidR="008A72C9" w:rsidRPr="008A72C9" w:rsidRDefault="008A72C9" w:rsidP="008A72C9">
      <w:pPr>
        <w:pStyle w:val="a4"/>
      </w:pPr>
      <w:r w:rsidRPr="008A72C9">
        <w:rPr>
          <w:rFonts w:hint="cs"/>
          <w:rtl/>
        </w:rPr>
        <w:t>(</w:t>
      </w:r>
      <w:r w:rsidRPr="008A72C9">
        <w:rPr>
          <w:rStyle w:val="ac"/>
          <w:vertAlign w:val="baseline"/>
        </w:rPr>
        <w:footnoteRef/>
      </w:r>
      <w:r w:rsidRPr="008A72C9">
        <w:rPr>
          <w:rFonts w:hint="cs"/>
          <w:rtl/>
        </w:rPr>
        <w:t xml:space="preserve">) راجع: </w:t>
      </w:r>
      <w:r w:rsidRPr="004A66CC">
        <w:rPr>
          <w:rFonts w:hint="cs"/>
          <w:b/>
          <w:bCs/>
          <w:rtl/>
        </w:rPr>
        <w:t>وسائل الشيعة</w:t>
      </w:r>
      <w:r w:rsidRPr="008A72C9">
        <w:rPr>
          <w:rFonts w:hint="cs"/>
          <w:rtl/>
        </w:rPr>
        <w:t>، الحر العاملي، كتاب التجارة، أبواب ما يتكسب به، الباب 103، ح4.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3854F0" w14:textId="77777777" w:rsidR="00153FDD" w:rsidRDefault="00153FDD">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0" w:name="_GoBack"/>
  <w:p w14:paraId="628C0897" w14:textId="6C346517" w:rsidR="00B07F43" w:rsidRPr="00EF47A8" w:rsidRDefault="00B07F43" w:rsidP="00153FDD">
    <w:pPr>
      <w:pStyle w:val="a9"/>
      <w:tabs>
        <w:tab w:val="clear" w:pos="4513"/>
        <w:tab w:val="clear" w:pos="9026"/>
        <w:tab w:val="left" w:pos="-29"/>
        <w:tab w:val="right" w:pos="9752"/>
      </w:tabs>
      <w:rPr>
        <w:rFonts w:ascii="mylotus" w:hAnsi="mylotus" w:cs="mylotus"/>
        <w:sz w:val="24"/>
        <w:szCs w:val="24"/>
        <w:lang w:val="en-US"/>
      </w:rPr>
    </w:pPr>
    <w:r w:rsidRPr="00EF47A8">
      <w:rPr>
        <w:rFonts w:ascii="mylotus" w:hAnsi="mylotus" w:cs="mylotus"/>
        <w:noProof/>
        <w:color w:val="FF0000"/>
        <w:sz w:val="24"/>
        <w:szCs w:val="24"/>
        <w:rtl/>
        <w:lang w:val="en-US"/>
      </w:rPr>
      <mc:AlternateContent>
        <mc:Choice Requires="wps">
          <w:drawing>
            <wp:anchor distT="0" distB="0" distL="114300" distR="114300" simplePos="0" relativeHeight="251662848"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74C7EDE" id="رابط مستقيم 1" o:spid="_x0000_s1026" style="position:absolute;left:0;text-align:left;flip:x;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B8145D" w:rsidRPr="00EF47A8">
      <w:rPr>
        <w:rFonts w:ascii="mylotus" w:hAnsi="mylotus" w:cs="mylotus"/>
        <w:color w:val="FF0000"/>
        <w:sz w:val="24"/>
        <w:szCs w:val="24"/>
        <w:rtl/>
      </w:rPr>
      <w:t xml:space="preserve">بحث فقه المسائل المستحدثة </w:t>
    </w:r>
    <w:r w:rsidR="00B8145D" w:rsidRPr="00EF47A8">
      <w:rPr>
        <w:rFonts w:ascii="mylotus" w:hAnsi="mylotus" w:cs="mylotus" w:hint="cs"/>
        <w:color w:val="FF0000"/>
        <w:sz w:val="24"/>
        <w:szCs w:val="24"/>
        <w:rtl/>
      </w:rPr>
      <w:t>(</w:t>
    </w:r>
    <w:r w:rsidR="007C596C">
      <w:rPr>
        <w:rFonts w:ascii="mylotus" w:hAnsi="mylotus" w:cs="mylotus" w:hint="cs"/>
        <w:color w:val="FF0000"/>
        <w:sz w:val="24"/>
        <w:szCs w:val="24"/>
        <w:rtl/>
      </w:rPr>
      <w:t>6</w:t>
    </w:r>
    <w:r w:rsidR="00B8145D" w:rsidRPr="00EF47A8">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153FDD">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153FDD">
      <w:rPr>
        <w:rFonts w:ascii="mylotus" w:hAnsi="mylotus" w:cs="mylotus" w:hint="cs"/>
        <w:color w:val="FF0000"/>
        <w:sz w:val="24"/>
        <w:szCs w:val="24"/>
        <w:rtl/>
      </w:rPr>
      <w:t>العملة الرقمية (</w:t>
    </w:r>
    <w:proofErr w:type="spellStart"/>
    <w:r w:rsidR="00153FDD">
      <w:rPr>
        <w:rFonts w:ascii="mylotus" w:hAnsi="mylotus" w:cs="mylotus" w:hint="cs"/>
        <w:color w:val="FF0000"/>
        <w:sz w:val="24"/>
        <w:szCs w:val="24"/>
        <w:rtl/>
      </w:rPr>
      <w:t>البتكوين</w:t>
    </w:r>
    <w:proofErr w:type="spellEnd"/>
    <w:r w:rsidR="00153FDD">
      <w:rPr>
        <w:rFonts w:ascii="mylotus" w:hAnsi="mylotus" w:cs="mylotus" w:hint="cs"/>
        <w:color w:val="FF0000"/>
        <w:sz w:val="24"/>
        <w:szCs w:val="24"/>
        <w:rtl/>
      </w:rPr>
      <w:t>) 4</w:t>
    </w:r>
    <w:r w:rsidR="002F7D24" w:rsidRPr="00EF47A8">
      <w:rPr>
        <w:rFonts w:ascii="mylotus" w:hAnsi="mylotus" w:cs="mylotus"/>
        <w:color w:val="FF0000"/>
        <w:sz w:val="24"/>
        <w:szCs w:val="24"/>
        <w:rtl/>
      </w:rPr>
      <w:t xml:space="preserve"> - ليلة </w:t>
    </w:r>
    <w:r w:rsidR="007C596C">
      <w:rPr>
        <w:rFonts w:ascii="mylotus" w:hAnsi="mylotus" w:cs="mylotus" w:hint="cs"/>
        <w:color w:val="FF0000"/>
        <w:sz w:val="24"/>
        <w:szCs w:val="24"/>
        <w:rtl/>
      </w:rPr>
      <w:t>الثلاثاء</w:t>
    </w:r>
    <w:r w:rsidR="002F4A41">
      <w:rPr>
        <w:rFonts w:ascii="mylotus" w:hAnsi="mylotus" w:cs="mylotus" w:hint="cs"/>
        <w:color w:val="FF0000"/>
        <w:sz w:val="24"/>
        <w:szCs w:val="24"/>
        <w:rtl/>
      </w:rPr>
      <w:t xml:space="preserve"> </w:t>
    </w:r>
    <w:r w:rsidR="007C596C">
      <w:rPr>
        <w:rFonts w:ascii="mylotus" w:hAnsi="mylotus" w:cs="mylotus" w:hint="cs"/>
        <w:color w:val="FF0000"/>
        <w:sz w:val="24"/>
        <w:szCs w:val="24"/>
        <w:rtl/>
      </w:rPr>
      <w:t>6</w:t>
    </w:r>
    <w:r w:rsidR="00EF47A8" w:rsidRPr="00EF47A8">
      <w:rPr>
        <w:rFonts w:ascii="mylotus" w:hAnsi="mylotus" w:cs="mylotus" w:hint="cs"/>
        <w:color w:val="FF0000"/>
        <w:sz w:val="24"/>
        <w:szCs w:val="24"/>
        <w:rtl/>
      </w:rPr>
      <w:t xml:space="preserve"> </w:t>
    </w:r>
    <w:r w:rsidR="00B8145D" w:rsidRPr="00EF47A8">
      <w:rPr>
        <w:rFonts w:ascii="mylotus" w:hAnsi="mylotus" w:cs="mylotus"/>
        <w:color w:val="FF0000"/>
        <w:sz w:val="24"/>
        <w:szCs w:val="24"/>
        <w:rtl/>
      </w:rPr>
      <w:t>شهر رمضان ١٤٤٧هج</w:t>
    </w:r>
    <w:bookmarkEnd w:id="0"/>
    <w:r w:rsidR="00EF47A8">
      <w:rPr>
        <w:rFonts w:ascii="mylotus" w:hAnsi="mylotus" w:cs="mylotus" w:hint="cs"/>
        <w:color w:val="FF0000"/>
        <w:sz w:val="24"/>
        <w:szCs w:val="24"/>
        <w:rtl/>
      </w:rPr>
      <w:t xml:space="preserve"> </w:t>
    </w:r>
    <w:r w:rsidR="00EF47A8">
      <w:rPr>
        <w:rFonts w:ascii="mylotus" w:hAnsi="mylotus" w:cs="mylotus"/>
        <w:color w:val="FF0000"/>
        <w:sz w:val="24"/>
        <w:szCs w:val="24"/>
        <w:rtl/>
      </w:rPr>
      <w:tab/>
    </w:r>
    <w:r w:rsidR="00153FDD">
      <w:rPr>
        <w:rFonts w:ascii="mylotus" w:hAnsi="mylotus" w:cs="mylotus" w:hint="cs"/>
        <w:color w:val="FF0000"/>
        <w:sz w:val="24"/>
        <w:szCs w:val="24"/>
        <w:rtl/>
      </w:rPr>
      <w:t xml:space="preserve">      </w:t>
    </w:r>
    <w:r w:rsidR="00EF47A8">
      <w:rPr>
        <w:rFonts w:ascii="mylotus" w:hAnsi="mylotus" w:cs="mylotus" w:hint="cs"/>
        <w:color w:val="FF0000"/>
        <w:sz w:val="24"/>
        <w:szCs w:val="24"/>
        <w:rtl/>
      </w:rPr>
      <w:t>ا</w:t>
    </w:r>
    <w:r w:rsidRPr="00EF47A8">
      <w:rPr>
        <w:rFonts w:ascii="mylotus" w:hAnsi="mylotus" w:cs="mylotus"/>
        <w:color w:val="FF0000"/>
        <w:sz w:val="24"/>
        <w:szCs w:val="24"/>
        <w:rtl/>
        <w:lang w:val="en-US"/>
      </w:rPr>
      <w:t>لأستاذ السيد منير الخباز</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23E1AD" w14:textId="77777777" w:rsidR="00153FDD" w:rsidRDefault="00153FDD">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028EA"/>
    <w:rsid w:val="00012B79"/>
    <w:rsid w:val="00014663"/>
    <w:rsid w:val="00014E51"/>
    <w:rsid w:val="0003362C"/>
    <w:rsid w:val="0004271A"/>
    <w:rsid w:val="00054F91"/>
    <w:rsid w:val="000634C0"/>
    <w:rsid w:val="00075B8F"/>
    <w:rsid w:val="00083EE7"/>
    <w:rsid w:val="00085C01"/>
    <w:rsid w:val="000868A0"/>
    <w:rsid w:val="000A1086"/>
    <w:rsid w:val="000C2631"/>
    <w:rsid w:val="000E2AF5"/>
    <w:rsid w:val="000F2D22"/>
    <w:rsid w:val="00102391"/>
    <w:rsid w:val="00104288"/>
    <w:rsid w:val="00111AE8"/>
    <w:rsid w:val="00116171"/>
    <w:rsid w:val="00126819"/>
    <w:rsid w:val="00153FDD"/>
    <w:rsid w:val="00154286"/>
    <w:rsid w:val="001700E2"/>
    <w:rsid w:val="0017077E"/>
    <w:rsid w:val="00177464"/>
    <w:rsid w:val="0018506F"/>
    <w:rsid w:val="00190CDF"/>
    <w:rsid w:val="001B36AE"/>
    <w:rsid w:val="001B7AAB"/>
    <w:rsid w:val="001D0455"/>
    <w:rsid w:val="001D2C21"/>
    <w:rsid w:val="001D40F0"/>
    <w:rsid w:val="001F034F"/>
    <w:rsid w:val="001F6237"/>
    <w:rsid w:val="0021164C"/>
    <w:rsid w:val="00212967"/>
    <w:rsid w:val="002220AA"/>
    <w:rsid w:val="00225C1C"/>
    <w:rsid w:val="002333B8"/>
    <w:rsid w:val="002339F1"/>
    <w:rsid w:val="002438AD"/>
    <w:rsid w:val="0024499D"/>
    <w:rsid w:val="002530E6"/>
    <w:rsid w:val="00257474"/>
    <w:rsid w:val="00294D72"/>
    <w:rsid w:val="002951F9"/>
    <w:rsid w:val="002A79FA"/>
    <w:rsid w:val="002B4296"/>
    <w:rsid w:val="002B4E62"/>
    <w:rsid w:val="002C3704"/>
    <w:rsid w:val="002D0D9E"/>
    <w:rsid w:val="002D2D63"/>
    <w:rsid w:val="002E7166"/>
    <w:rsid w:val="002F1501"/>
    <w:rsid w:val="002F4A41"/>
    <w:rsid w:val="002F7D24"/>
    <w:rsid w:val="00316628"/>
    <w:rsid w:val="003228E8"/>
    <w:rsid w:val="00331615"/>
    <w:rsid w:val="00341791"/>
    <w:rsid w:val="00346652"/>
    <w:rsid w:val="0035443E"/>
    <w:rsid w:val="0035715B"/>
    <w:rsid w:val="00382085"/>
    <w:rsid w:val="003A0D7F"/>
    <w:rsid w:val="003A4C77"/>
    <w:rsid w:val="003C27B3"/>
    <w:rsid w:val="003C5C22"/>
    <w:rsid w:val="003E28FC"/>
    <w:rsid w:val="003F635C"/>
    <w:rsid w:val="00402155"/>
    <w:rsid w:val="00416FF8"/>
    <w:rsid w:val="00417B1F"/>
    <w:rsid w:val="00426274"/>
    <w:rsid w:val="00434EF0"/>
    <w:rsid w:val="004417B4"/>
    <w:rsid w:val="00444116"/>
    <w:rsid w:val="004713E0"/>
    <w:rsid w:val="0048735F"/>
    <w:rsid w:val="00487DED"/>
    <w:rsid w:val="004A66CC"/>
    <w:rsid w:val="004B03A0"/>
    <w:rsid w:val="004B14A5"/>
    <w:rsid w:val="004B76A6"/>
    <w:rsid w:val="004C2054"/>
    <w:rsid w:val="004C7537"/>
    <w:rsid w:val="004D6F7D"/>
    <w:rsid w:val="004E1525"/>
    <w:rsid w:val="0050790C"/>
    <w:rsid w:val="0051676D"/>
    <w:rsid w:val="005177DE"/>
    <w:rsid w:val="00524E83"/>
    <w:rsid w:val="005365F6"/>
    <w:rsid w:val="00560065"/>
    <w:rsid w:val="00560F51"/>
    <w:rsid w:val="0058437E"/>
    <w:rsid w:val="00591778"/>
    <w:rsid w:val="00595632"/>
    <w:rsid w:val="005A573C"/>
    <w:rsid w:val="005D1880"/>
    <w:rsid w:val="005D3B52"/>
    <w:rsid w:val="005F0F6F"/>
    <w:rsid w:val="005F70FF"/>
    <w:rsid w:val="005F7776"/>
    <w:rsid w:val="0060278A"/>
    <w:rsid w:val="00612084"/>
    <w:rsid w:val="00623790"/>
    <w:rsid w:val="006248DE"/>
    <w:rsid w:val="006254BE"/>
    <w:rsid w:val="006333B1"/>
    <w:rsid w:val="00637DBE"/>
    <w:rsid w:val="00646A5D"/>
    <w:rsid w:val="00652CA2"/>
    <w:rsid w:val="00657D5F"/>
    <w:rsid w:val="0067710E"/>
    <w:rsid w:val="00683B86"/>
    <w:rsid w:val="00694C4A"/>
    <w:rsid w:val="00696BDC"/>
    <w:rsid w:val="006A3CD3"/>
    <w:rsid w:val="006A758D"/>
    <w:rsid w:val="006B6BCB"/>
    <w:rsid w:val="006C341E"/>
    <w:rsid w:val="006C6C7F"/>
    <w:rsid w:val="006D031B"/>
    <w:rsid w:val="006D0642"/>
    <w:rsid w:val="006D6E7E"/>
    <w:rsid w:val="006E1B18"/>
    <w:rsid w:val="006F072D"/>
    <w:rsid w:val="006F6650"/>
    <w:rsid w:val="00700C70"/>
    <w:rsid w:val="00701077"/>
    <w:rsid w:val="00701E4F"/>
    <w:rsid w:val="007237A9"/>
    <w:rsid w:val="007268AB"/>
    <w:rsid w:val="007310D4"/>
    <w:rsid w:val="00732DB7"/>
    <w:rsid w:val="00740CF8"/>
    <w:rsid w:val="00753B14"/>
    <w:rsid w:val="0076539C"/>
    <w:rsid w:val="00776E98"/>
    <w:rsid w:val="00781258"/>
    <w:rsid w:val="00791C2B"/>
    <w:rsid w:val="007926E8"/>
    <w:rsid w:val="007A1A5D"/>
    <w:rsid w:val="007A59E2"/>
    <w:rsid w:val="007B25DF"/>
    <w:rsid w:val="007C596C"/>
    <w:rsid w:val="007D0826"/>
    <w:rsid w:val="007D2646"/>
    <w:rsid w:val="007D2DF4"/>
    <w:rsid w:val="007D3C58"/>
    <w:rsid w:val="007D6129"/>
    <w:rsid w:val="007E4A75"/>
    <w:rsid w:val="007F2A1F"/>
    <w:rsid w:val="00836BC1"/>
    <w:rsid w:val="008469EC"/>
    <w:rsid w:val="00850894"/>
    <w:rsid w:val="00852165"/>
    <w:rsid w:val="00861F42"/>
    <w:rsid w:val="00886478"/>
    <w:rsid w:val="008943C4"/>
    <w:rsid w:val="00895528"/>
    <w:rsid w:val="008A72C9"/>
    <w:rsid w:val="008A7669"/>
    <w:rsid w:val="008B2BF2"/>
    <w:rsid w:val="008B5A1B"/>
    <w:rsid w:val="008B6C9C"/>
    <w:rsid w:val="008C18BC"/>
    <w:rsid w:val="008C59F7"/>
    <w:rsid w:val="008D0522"/>
    <w:rsid w:val="008D1AF3"/>
    <w:rsid w:val="008D2DBE"/>
    <w:rsid w:val="008E10C9"/>
    <w:rsid w:val="00900A07"/>
    <w:rsid w:val="009076DD"/>
    <w:rsid w:val="009153E5"/>
    <w:rsid w:val="00916630"/>
    <w:rsid w:val="00946D46"/>
    <w:rsid w:val="00950CF6"/>
    <w:rsid w:val="00952DCA"/>
    <w:rsid w:val="0095312D"/>
    <w:rsid w:val="00963C62"/>
    <w:rsid w:val="00964B73"/>
    <w:rsid w:val="0096623A"/>
    <w:rsid w:val="0097647D"/>
    <w:rsid w:val="0098687C"/>
    <w:rsid w:val="00991053"/>
    <w:rsid w:val="00994D9F"/>
    <w:rsid w:val="009954B5"/>
    <w:rsid w:val="009B1550"/>
    <w:rsid w:val="009B6F1C"/>
    <w:rsid w:val="009C701E"/>
    <w:rsid w:val="009D7D48"/>
    <w:rsid w:val="009E5EBF"/>
    <w:rsid w:val="009E651D"/>
    <w:rsid w:val="009F4BE3"/>
    <w:rsid w:val="00A04BE3"/>
    <w:rsid w:val="00A0527F"/>
    <w:rsid w:val="00A06115"/>
    <w:rsid w:val="00A1068D"/>
    <w:rsid w:val="00A15BAE"/>
    <w:rsid w:val="00A162A4"/>
    <w:rsid w:val="00A17844"/>
    <w:rsid w:val="00A43232"/>
    <w:rsid w:val="00A5027D"/>
    <w:rsid w:val="00A53FEA"/>
    <w:rsid w:val="00A63606"/>
    <w:rsid w:val="00A66546"/>
    <w:rsid w:val="00A82687"/>
    <w:rsid w:val="00A90FD4"/>
    <w:rsid w:val="00A92C34"/>
    <w:rsid w:val="00A932D7"/>
    <w:rsid w:val="00A97E8F"/>
    <w:rsid w:val="00AB0BF9"/>
    <w:rsid w:val="00AB2506"/>
    <w:rsid w:val="00AB4593"/>
    <w:rsid w:val="00AC0335"/>
    <w:rsid w:val="00AC2737"/>
    <w:rsid w:val="00AD187B"/>
    <w:rsid w:val="00AD4ACE"/>
    <w:rsid w:val="00AF658D"/>
    <w:rsid w:val="00B05107"/>
    <w:rsid w:val="00B05627"/>
    <w:rsid w:val="00B07F43"/>
    <w:rsid w:val="00B148FC"/>
    <w:rsid w:val="00B15C12"/>
    <w:rsid w:val="00B24C0B"/>
    <w:rsid w:val="00B27FD9"/>
    <w:rsid w:val="00B42E19"/>
    <w:rsid w:val="00B4551F"/>
    <w:rsid w:val="00B54C68"/>
    <w:rsid w:val="00B65C14"/>
    <w:rsid w:val="00B70A67"/>
    <w:rsid w:val="00B71632"/>
    <w:rsid w:val="00B77EC8"/>
    <w:rsid w:val="00B8145D"/>
    <w:rsid w:val="00B81EB8"/>
    <w:rsid w:val="00B83C9F"/>
    <w:rsid w:val="00B87CBD"/>
    <w:rsid w:val="00B87FE6"/>
    <w:rsid w:val="00B96BED"/>
    <w:rsid w:val="00B97D7F"/>
    <w:rsid w:val="00BA53AA"/>
    <w:rsid w:val="00BB1CD3"/>
    <w:rsid w:val="00BB1D40"/>
    <w:rsid w:val="00BB58EF"/>
    <w:rsid w:val="00BD0942"/>
    <w:rsid w:val="00BD2206"/>
    <w:rsid w:val="00BD26E3"/>
    <w:rsid w:val="00BD3D69"/>
    <w:rsid w:val="00BD7A64"/>
    <w:rsid w:val="00BF0852"/>
    <w:rsid w:val="00C017CB"/>
    <w:rsid w:val="00C02079"/>
    <w:rsid w:val="00C20D65"/>
    <w:rsid w:val="00C22646"/>
    <w:rsid w:val="00C3133B"/>
    <w:rsid w:val="00C37E61"/>
    <w:rsid w:val="00C57BF1"/>
    <w:rsid w:val="00C705EB"/>
    <w:rsid w:val="00C72348"/>
    <w:rsid w:val="00C7591A"/>
    <w:rsid w:val="00C83005"/>
    <w:rsid w:val="00C96172"/>
    <w:rsid w:val="00C9737F"/>
    <w:rsid w:val="00C97837"/>
    <w:rsid w:val="00CB1F7A"/>
    <w:rsid w:val="00CB5F23"/>
    <w:rsid w:val="00CC72D7"/>
    <w:rsid w:val="00CD4C3D"/>
    <w:rsid w:val="00CE6FAD"/>
    <w:rsid w:val="00CF60B7"/>
    <w:rsid w:val="00D05950"/>
    <w:rsid w:val="00D12BC7"/>
    <w:rsid w:val="00D13826"/>
    <w:rsid w:val="00D31E52"/>
    <w:rsid w:val="00D83D98"/>
    <w:rsid w:val="00D84C80"/>
    <w:rsid w:val="00D965CE"/>
    <w:rsid w:val="00DA0B26"/>
    <w:rsid w:val="00DA7AC6"/>
    <w:rsid w:val="00DB1F3D"/>
    <w:rsid w:val="00DD08B6"/>
    <w:rsid w:val="00DD33E6"/>
    <w:rsid w:val="00DF0E53"/>
    <w:rsid w:val="00DF1A38"/>
    <w:rsid w:val="00DF2071"/>
    <w:rsid w:val="00E02CFA"/>
    <w:rsid w:val="00E13660"/>
    <w:rsid w:val="00E20D9C"/>
    <w:rsid w:val="00E27207"/>
    <w:rsid w:val="00E37303"/>
    <w:rsid w:val="00E50090"/>
    <w:rsid w:val="00E5678F"/>
    <w:rsid w:val="00E567DE"/>
    <w:rsid w:val="00E616B8"/>
    <w:rsid w:val="00E62F33"/>
    <w:rsid w:val="00E706A4"/>
    <w:rsid w:val="00E73CE3"/>
    <w:rsid w:val="00E7460D"/>
    <w:rsid w:val="00E80680"/>
    <w:rsid w:val="00E91C1E"/>
    <w:rsid w:val="00E925D2"/>
    <w:rsid w:val="00E96167"/>
    <w:rsid w:val="00EB313E"/>
    <w:rsid w:val="00EC0098"/>
    <w:rsid w:val="00EC2D5F"/>
    <w:rsid w:val="00ED27C3"/>
    <w:rsid w:val="00ED7012"/>
    <w:rsid w:val="00EF47A8"/>
    <w:rsid w:val="00EF4A02"/>
    <w:rsid w:val="00EF4E74"/>
    <w:rsid w:val="00F03EE5"/>
    <w:rsid w:val="00F102E2"/>
    <w:rsid w:val="00F13ED3"/>
    <w:rsid w:val="00F21E37"/>
    <w:rsid w:val="00F2232F"/>
    <w:rsid w:val="00F24EC7"/>
    <w:rsid w:val="00F31F05"/>
    <w:rsid w:val="00F4159D"/>
    <w:rsid w:val="00F52DC7"/>
    <w:rsid w:val="00F6280E"/>
    <w:rsid w:val="00F6536F"/>
    <w:rsid w:val="00F72F28"/>
    <w:rsid w:val="00F760D6"/>
    <w:rsid w:val="00F76336"/>
    <w:rsid w:val="00F83D13"/>
    <w:rsid w:val="00F87C5B"/>
    <w:rsid w:val="00F9000E"/>
    <w:rsid w:val="00FB2461"/>
    <w:rsid w:val="00FB61E8"/>
    <w:rsid w:val="00FC2FF8"/>
    <w:rsid w:val="00FC7F35"/>
    <w:rsid w:val="00FE0CE1"/>
    <w:rsid w:val="00FE4612"/>
    <w:rsid w:val="00FE6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8A72C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8A72C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C20567-E714-4FF0-A828-AFDBA0CD3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2</TotalTime>
  <Pages>5</Pages>
  <Words>1248</Words>
  <Characters>7117</Characters>
  <Application>Microsoft Office Word</Application>
  <DocSecurity>0</DocSecurity>
  <Lines>59</Lines>
  <Paragraphs>16</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8349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2</cp:revision>
  <cp:lastPrinted>2026-02-24T20:07:00Z</cp:lastPrinted>
  <dcterms:created xsi:type="dcterms:W3CDTF">2026-02-27T14:47:00Z</dcterms:created>
  <dcterms:modified xsi:type="dcterms:W3CDTF">2026-02-27T14:47:00Z</dcterms:modified>
</cp:coreProperties>
</file>