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C4EC856" w:rsidR="00444116" w:rsidRPr="00EF47A8" w:rsidRDefault="00AC2737" w:rsidP="00BE5E75">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3480B390" w14:textId="77777777" w:rsidR="00B04015" w:rsidRPr="00913CD4" w:rsidRDefault="00B04015" w:rsidP="00B04015">
      <w:pPr>
        <w:pStyle w:val="a0"/>
        <w:bidi/>
        <w:rPr>
          <w:rFonts w:ascii="mylotus" w:hAnsi="mylotus"/>
          <w:sz w:val="32"/>
          <w:rtl/>
        </w:rPr>
      </w:pPr>
      <w:r w:rsidRPr="00913CD4">
        <w:rPr>
          <w:rFonts w:ascii="mylotus" w:hAnsi="mylotus"/>
          <w:sz w:val="32"/>
          <w:rtl/>
          <w:lang w:bidi="ar-BH"/>
        </w:rPr>
        <w:t>ويقع البحث في ال</w:t>
      </w:r>
      <w:r w:rsidRPr="00913CD4">
        <w:rPr>
          <w:rFonts w:ascii="mylotus" w:hAnsi="mylotus"/>
          <w:sz w:val="32"/>
          <w:rtl/>
        </w:rPr>
        <w:t>ا</w:t>
      </w:r>
      <w:proofErr w:type="spellStart"/>
      <w:r w:rsidRPr="00913CD4">
        <w:rPr>
          <w:rFonts w:ascii="mylotus" w:hAnsi="mylotus"/>
          <w:sz w:val="32"/>
          <w:rtl/>
          <w:lang w:bidi="ar-BH"/>
        </w:rPr>
        <w:t>ستدلال</w:t>
      </w:r>
      <w:proofErr w:type="spellEnd"/>
      <w:r w:rsidRPr="00913CD4">
        <w:rPr>
          <w:rFonts w:ascii="mylotus" w:hAnsi="mylotus"/>
          <w:sz w:val="32"/>
          <w:rtl/>
          <w:lang w:bidi="ar-BH"/>
        </w:rPr>
        <w:t xml:space="preserve"> بمذاق الشارع على حرمة التعامل بالبتكوين تارة في الكبرى</w:t>
      </w:r>
      <w:r w:rsidRPr="00913CD4">
        <w:rPr>
          <w:rFonts w:ascii="mylotus" w:hAnsi="mylotus"/>
          <w:sz w:val="32"/>
          <w:rtl/>
        </w:rPr>
        <w:t>،</w:t>
      </w:r>
      <w:r w:rsidRPr="00913CD4">
        <w:rPr>
          <w:rFonts w:ascii="mylotus" w:hAnsi="mylotus"/>
          <w:sz w:val="32"/>
          <w:rtl/>
          <w:lang w:bidi="ar-BH"/>
        </w:rPr>
        <w:t xml:space="preserve"> وأخرى في الصّغرى، فهنا جهتان للبحث:</w:t>
      </w:r>
    </w:p>
    <w:p w14:paraId="48755EF9" w14:textId="77777777" w:rsidR="00B04015" w:rsidRPr="00913CD4" w:rsidRDefault="00B04015" w:rsidP="00B04015">
      <w:pPr>
        <w:pStyle w:val="a0"/>
        <w:bidi/>
        <w:rPr>
          <w:rFonts w:ascii="mylotus" w:hAnsi="mylotus"/>
          <w:b/>
          <w:bCs/>
          <w:sz w:val="32"/>
          <w:rtl/>
        </w:rPr>
      </w:pPr>
      <w:r w:rsidRPr="00913CD4">
        <w:rPr>
          <w:rFonts w:ascii="mylotus" w:hAnsi="mylotus"/>
          <w:b/>
          <w:bCs/>
          <w:sz w:val="32"/>
          <w:rtl/>
          <w:lang w:bidi="ar-BH"/>
        </w:rPr>
        <w:t>الجهة الأولى: الكبرى (حجّيّة مذاق الشّارع)</w:t>
      </w:r>
    </w:p>
    <w:p w14:paraId="59C9511E" w14:textId="77777777" w:rsidR="00B04015" w:rsidRPr="00913CD4" w:rsidRDefault="00B04015" w:rsidP="00B04015">
      <w:pPr>
        <w:pStyle w:val="a0"/>
        <w:bidi/>
        <w:rPr>
          <w:rFonts w:ascii="mylotus" w:hAnsi="mylotus"/>
          <w:sz w:val="32"/>
          <w:rtl/>
        </w:rPr>
      </w:pPr>
      <w:r w:rsidRPr="00913CD4">
        <w:rPr>
          <w:rFonts w:ascii="mylotus" w:hAnsi="mylotus"/>
          <w:sz w:val="32"/>
          <w:rtl/>
          <w:lang w:bidi="ar-BH"/>
        </w:rPr>
        <w:t>هل أنّ من طرق الاستنباط ما يعبّر عنه بمذاق الشّارع أم لا؟</w:t>
      </w:r>
    </w:p>
    <w:p w14:paraId="1B39E3DC" w14:textId="77777777" w:rsidR="00B04015" w:rsidRPr="00913CD4" w:rsidRDefault="00B04015" w:rsidP="00B04015">
      <w:pPr>
        <w:pStyle w:val="a0"/>
        <w:bidi/>
        <w:rPr>
          <w:rFonts w:ascii="mylotus" w:hAnsi="mylotus"/>
          <w:sz w:val="32"/>
          <w:rtl/>
        </w:rPr>
      </w:pPr>
      <w:r w:rsidRPr="00913CD4">
        <w:rPr>
          <w:rFonts w:ascii="mylotus" w:hAnsi="mylotus"/>
          <w:sz w:val="32"/>
          <w:rtl/>
          <w:lang w:bidi="ar-BH"/>
        </w:rPr>
        <w:t>والصّحيح أنّه ليس مذاق الشّارع إلّا منهجه، ومنهج الشّارع عبارة عن حكم تشريعي؛ إذ المفروض أنّ ما يصدر من المشرّع ليس إلّا أمران: الحكم</w:t>
      </w:r>
      <w:r w:rsidRPr="00913CD4">
        <w:rPr>
          <w:rFonts w:ascii="mylotus" w:hAnsi="mylotus"/>
          <w:sz w:val="32"/>
          <w:rtl/>
        </w:rPr>
        <w:t>،</w:t>
      </w:r>
      <w:r w:rsidRPr="00913CD4">
        <w:rPr>
          <w:rFonts w:ascii="mylotus" w:hAnsi="mylotus"/>
          <w:sz w:val="32"/>
          <w:rtl/>
          <w:lang w:bidi="ar-BH"/>
        </w:rPr>
        <w:t xml:space="preserve"> وما</w:t>
      </w:r>
      <w:r w:rsidRPr="00913CD4">
        <w:rPr>
          <w:rFonts w:ascii="mylotus" w:hAnsi="mylotus"/>
          <w:sz w:val="32"/>
          <w:rtl/>
        </w:rPr>
        <w:t xml:space="preserve"> </w:t>
      </w:r>
      <w:r w:rsidRPr="00913CD4">
        <w:rPr>
          <w:rFonts w:ascii="mylotus" w:hAnsi="mylotus"/>
          <w:sz w:val="32"/>
          <w:rtl/>
          <w:lang w:bidi="ar-BH"/>
        </w:rPr>
        <w:t xml:space="preserve">يعبر عنه بالحقيقة الشّرعيّة، سواء كانت الحقيقة الشّرعيّة في الموضوعات -كما في تحديده الكرّ والسّفر- أو في المتعلّقات -كما في تعريفه للصّلاة والطهارة بالوضوء والغسل والتيمم-. </w:t>
      </w:r>
    </w:p>
    <w:p w14:paraId="16E74159" w14:textId="7078BD5C" w:rsidR="00B04015" w:rsidRPr="00913CD4" w:rsidRDefault="00B04015" w:rsidP="00B04015">
      <w:pPr>
        <w:pStyle w:val="a0"/>
        <w:bidi/>
        <w:rPr>
          <w:rFonts w:ascii="mylotus" w:hAnsi="mylotus"/>
          <w:sz w:val="32"/>
          <w:rtl/>
        </w:rPr>
      </w:pPr>
      <w:r w:rsidRPr="00913CD4">
        <w:rPr>
          <w:rFonts w:ascii="mylotus" w:hAnsi="mylotus"/>
          <w:sz w:val="32"/>
          <w:rtl/>
          <w:lang w:bidi="ar-BH"/>
        </w:rPr>
        <w:t>وحيث إنّ الثّاني -وهو الحقيقة الشّرعيّة- غير محتمل في المقام؛ لأنّ المقصود في المقام هو حرمة تعريض المال للخطر، وحرمة تعريض المال للخطر من سنخ الأحكام لا من سنخ الموضوعات والمتعلّقات، فلا محالة لا معنى لمذاق الشّارع في محلّ الكلام إلّا حكم الشّارع.</w:t>
      </w:r>
      <w:r w:rsidRPr="00913CD4">
        <w:rPr>
          <w:rFonts w:ascii="mylotus" w:hAnsi="mylotus"/>
          <w:sz w:val="32"/>
          <w:rtl/>
        </w:rPr>
        <w:t xml:space="preserve"> </w:t>
      </w:r>
      <w:r w:rsidRPr="00913CD4">
        <w:rPr>
          <w:rFonts w:ascii="mylotus" w:hAnsi="mylotus"/>
          <w:sz w:val="32"/>
          <w:rtl/>
          <w:lang w:bidi="ar-BH"/>
        </w:rPr>
        <w:t>وبالتّالي؛ فمذاق الشّارع نتيجة حكمية مستنبطة وليس طريقًا للاستنباط</w:t>
      </w:r>
      <w:r w:rsidRPr="00913CD4">
        <w:rPr>
          <w:rFonts w:ascii="mylotus" w:hAnsi="mylotus"/>
          <w:sz w:val="32"/>
          <w:rtl/>
        </w:rPr>
        <w:t>،</w:t>
      </w:r>
      <w:r w:rsidRPr="00913CD4">
        <w:rPr>
          <w:rFonts w:ascii="mylotus" w:hAnsi="mylotus"/>
          <w:sz w:val="32"/>
          <w:rtl/>
          <w:lang w:bidi="ar-BH"/>
        </w:rPr>
        <w:t xml:space="preserve"> بإزاء تنقيح المناط،</w:t>
      </w:r>
      <w:r w:rsidRPr="00913CD4">
        <w:rPr>
          <w:rFonts w:ascii="mylotus" w:hAnsi="mylotus"/>
          <w:sz w:val="32"/>
          <w:rtl/>
        </w:rPr>
        <w:t xml:space="preserve"> </w:t>
      </w:r>
      <w:r w:rsidRPr="00913CD4">
        <w:rPr>
          <w:rFonts w:ascii="mylotus" w:hAnsi="mylotus"/>
          <w:sz w:val="32"/>
          <w:rtl/>
          <w:lang w:bidi="ar-BH"/>
        </w:rPr>
        <w:t>والإجماع، والارتكاز المتشرّعيّ</w:t>
      </w:r>
      <w:r w:rsidRPr="00913CD4">
        <w:rPr>
          <w:rFonts w:ascii="mylotus" w:hAnsi="mylotus"/>
          <w:sz w:val="32"/>
          <w:rtl/>
        </w:rPr>
        <w:t>،</w:t>
      </w:r>
      <w:r w:rsidRPr="00913CD4">
        <w:rPr>
          <w:rFonts w:ascii="mylotus" w:hAnsi="mylotus"/>
          <w:sz w:val="32"/>
          <w:rtl/>
          <w:lang w:bidi="ar-BH"/>
        </w:rPr>
        <w:t xml:space="preserve"> غاية ما في الباب قد يكون حكم الشّارع تشريع</w:t>
      </w:r>
      <w:r w:rsidR="006A1855" w:rsidRPr="00913CD4">
        <w:rPr>
          <w:rFonts w:ascii="mylotus" w:hAnsi="mylotus"/>
          <w:sz w:val="32"/>
          <w:rtl/>
          <w:lang w:bidi="ar-BH"/>
        </w:rPr>
        <w:t>ً</w:t>
      </w:r>
      <w:r w:rsidRPr="00913CD4">
        <w:rPr>
          <w:rFonts w:ascii="mylotus" w:hAnsi="mylotus"/>
          <w:sz w:val="32"/>
          <w:rtl/>
          <w:lang w:bidi="ar-BH"/>
        </w:rPr>
        <w:t xml:space="preserve">ا خاصًّا بمسألة معيّنة </w:t>
      </w:r>
      <w:r w:rsidRPr="00913CD4">
        <w:rPr>
          <w:rFonts w:ascii="mylotus" w:hAnsi="mylotus"/>
          <w:sz w:val="32"/>
          <w:rtl/>
        </w:rPr>
        <w:t>-</w:t>
      </w:r>
      <w:r w:rsidRPr="00913CD4">
        <w:rPr>
          <w:rFonts w:ascii="mylotus" w:hAnsi="mylotus"/>
          <w:sz w:val="32"/>
          <w:rtl/>
          <w:lang w:bidi="ar-BH"/>
        </w:rPr>
        <w:t>كأحكام الصّلاة والصّوم وغير ذلك</w:t>
      </w:r>
      <w:r w:rsidRPr="00913CD4">
        <w:rPr>
          <w:rFonts w:ascii="mylotus" w:hAnsi="mylotus"/>
          <w:sz w:val="32"/>
          <w:rtl/>
        </w:rPr>
        <w:t>-</w:t>
      </w:r>
      <w:r w:rsidRPr="00913CD4">
        <w:rPr>
          <w:rFonts w:ascii="mylotus" w:hAnsi="mylotus"/>
          <w:sz w:val="32"/>
          <w:rtl/>
          <w:lang w:bidi="ar-BH"/>
        </w:rPr>
        <w:t xml:space="preserve">، وقد يكون تشريعًا عامًّا شاملاً لعدّة أبواب. </w:t>
      </w:r>
    </w:p>
    <w:p w14:paraId="40C29F51" w14:textId="77777777" w:rsidR="00B04015" w:rsidRPr="00913CD4" w:rsidRDefault="00B04015" w:rsidP="00B04015">
      <w:pPr>
        <w:pStyle w:val="a0"/>
        <w:bidi/>
        <w:rPr>
          <w:rFonts w:ascii="mylotus" w:hAnsi="mylotus"/>
          <w:sz w:val="32"/>
          <w:rtl/>
        </w:rPr>
      </w:pPr>
      <w:r w:rsidRPr="00913CD4">
        <w:rPr>
          <w:rFonts w:ascii="mylotus" w:hAnsi="mylotus"/>
          <w:sz w:val="32"/>
          <w:rtl/>
          <w:lang w:bidi="ar-BH"/>
        </w:rPr>
        <w:t>وحيث إنّ المعبّر عنه بمذاق الشّارع الذي هو تشريع عامّ فاستكشافه يفتقر إلى طريق، والطّريق له أحد نحوين:</w:t>
      </w:r>
    </w:p>
    <w:p w14:paraId="0566B1CF" w14:textId="5A07F712" w:rsidR="00B04015" w:rsidRPr="00913CD4" w:rsidRDefault="00B04015" w:rsidP="00B04015">
      <w:pPr>
        <w:pStyle w:val="a0"/>
        <w:bidi/>
        <w:rPr>
          <w:rFonts w:ascii="mylotus" w:hAnsi="mylotus"/>
          <w:sz w:val="32"/>
          <w:rtl/>
        </w:rPr>
      </w:pPr>
      <w:r w:rsidRPr="00913CD4">
        <w:rPr>
          <w:rFonts w:ascii="mylotus" w:hAnsi="mylotus"/>
          <w:b/>
          <w:bCs/>
          <w:sz w:val="32"/>
          <w:rtl/>
          <w:lang w:bidi="ar-BH"/>
        </w:rPr>
        <w:t xml:space="preserve">1- جمع القرائن </w:t>
      </w:r>
      <w:proofErr w:type="spellStart"/>
      <w:r w:rsidRPr="00913CD4">
        <w:rPr>
          <w:rFonts w:ascii="mylotus" w:hAnsi="mylotus"/>
          <w:b/>
          <w:bCs/>
          <w:sz w:val="32"/>
          <w:rtl/>
          <w:lang w:bidi="ar-BH"/>
        </w:rPr>
        <w:t>المفضية</w:t>
      </w:r>
      <w:proofErr w:type="spellEnd"/>
      <w:r w:rsidRPr="00913CD4">
        <w:rPr>
          <w:rFonts w:ascii="mylotus" w:hAnsi="mylotus"/>
          <w:b/>
          <w:bCs/>
          <w:sz w:val="32"/>
          <w:rtl/>
          <w:lang w:bidi="ar-BH"/>
        </w:rPr>
        <w:t xml:space="preserve"> للاطمئنان</w:t>
      </w:r>
      <w:r w:rsidRPr="00913CD4">
        <w:rPr>
          <w:rFonts w:ascii="mylotus" w:hAnsi="mylotus"/>
          <w:b/>
          <w:bCs/>
          <w:sz w:val="32"/>
          <w:rtl/>
        </w:rPr>
        <w:t>:</w:t>
      </w:r>
      <w:r w:rsidRPr="00913CD4">
        <w:rPr>
          <w:rFonts w:ascii="mylotus" w:hAnsi="mylotus"/>
          <w:sz w:val="32"/>
          <w:rtl/>
          <w:lang w:bidi="ar-BH"/>
        </w:rPr>
        <w:t xml:space="preserve"> بحيث يكون المدرك هو الاطمئنان الذي هو حجّة عقلائيّة إذا استند إلى </w:t>
      </w:r>
      <w:r w:rsidR="00484618" w:rsidRPr="00913CD4">
        <w:rPr>
          <w:rFonts w:ascii="mylotus" w:hAnsi="mylotus"/>
          <w:sz w:val="32"/>
          <w:rtl/>
          <w:lang w:bidi="ar-BH"/>
        </w:rPr>
        <w:t>المناشئ</w:t>
      </w:r>
      <w:r w:rsidRPr="00913CD4">
        <w:rPr>
          <w:rFonts w:ascii="mylotus" w:hAnsi="mylotus"/>
          <w:sz w:val="32"/>
          <w:rtl/>
          <w:lang w:bidi="ar-BH"/>
        </w:rPr>
        <w:t xml:space="preserve"> العقلائيّة،</w:t>
      </w:r>
      <w:r w:rsidRPr="00913CD4">
        <w:rPr>
          <w:rFonts w:ascii="mylotus" w:hAnsi="mylotus"/>
          <w:sz w:val="32"/>
          <w:rtl/>
        </w:rPr>
        <w:t xml:space="preserve"> </w:t>
      </w:r>
      <w:r w:rsidRPr="00913CD4">
        <w:rPr>
          <w:rFonts w:ascii="mylotus" w:hAnsi="mylotus"/>
          <w:sz w:val="32"/>
          <w:rtl/>
          <w:lang w:bidi="ar-BH"/>
        </w:rPr>
        <w:t xml:space="preserve">كأن يقال في المقام -وإن كان محل تأمل-: </w:t>
      </w:r>
      <w:r w:rsidRPr="00913CD4">
        <w:rPr>
          <w:rFonts w:ascii="mylotus" w:hAnsi="mylotus"/>
          <w:sz w:val="32"/>
          <w:rtl/>
        </w:rPr>
        <w:t>إ</w:t>
      </w:r>
      <w:r w:rsidRPr="00913CD4">
        <w:rPr>
          <w:rFonts w:ascii="mylotus" w:hAnsi="mylotus"/>
          <w:sz w:val="32"/>
          <w:rtl/>
          <w:lang w:bidi="ar-BH"/>
        </w:rPr>
        <w:t xml:space="preserve">ن مَن تتبّع اعتبار العدالة شرعا في سائر الموارد التي يترتّب عليها أثر شرعيّ مهم، </w:t>
      </w:r>
      <w:r w:rsidRPr="00913CD4">
        <w:rPr>
          <w:rFonts w:ascii="mylotus" w:hAnsi="mylotus"/>
          <w:sz w:val="32"/>
          <w:rtl/>
        </w:rPr>
        <w:t xml:space="preserve">يجد أن </w:t>
      </w:r>
      <w:r w:rsidRPr="00913CD4">
        <w:rPr>
          <w:rFonts w:ascii="mylotus" w:hAnsi="mylotus"/>
          <w:sz w:val="32"/>
          <w:rtl/>
          <w:lang w:bidi="ar-BH"/>
        </w:rPr>
        <w:t xml:space="preserve">نتيجة حساب </w:t>
      </w:r>
      <w:r w:rsidR="009D6A38" w:rsidRPr="00913CD4">
        <w:rPr>
          <w:rFonts w:ascii="mylotus" w:hAnsi="mylotus"/>
          <w:sz w:val="32"/>
          <w:rtl/>
          <w:lang w:bidi="ar-BH"/>
        </w:rPr>
        <w:t>الاحتمال</w:t>
      </w:r>
      <w:r w:rsidRPr="00913CD4">
        <w:rPr>
          <w:rFonts w:ascii="mylotus" w:hAnsi="mylotus"/>
          <w:sz w:val="32"/>
          <w:rtl/>
          <w:lang w:bidi="ar-BH"/>
        </w:rPr>
        <w:t xml:space="preserve"> بالنسبة له في مجموع هذه التشريعات حصول الاطمئنان باعتبار العدالة في كل مورد ذي أثر مهم</w:t>
      </w:r>
      <w:r w:rsidRPr="00913CD4">
        <w:rPr>
          <w:rFonts w:ascii="mylotus" w:hAnsi="mylotus"/>
          <w:sz w:val="32"/>
          <w:rtl/>
        </w:rPr>
        <w:t>،</w:t>
      </w:r>
      <w:r w:rsidRPr="00913CD4">
        <w:rPr>
          <w:rFonts w:ascii="mylotus" w:hAnsi="mylotus"/>
          <w:sz w:val="32"/>
          <w:rtl/>
          <w:lang w:bidi="ar-BH"/>
        </w:rPr>
        <w:t xml:space="preserve"> ومن </w:t>
      </w:r>
      <w:r w:rsidRPr="00913CD4">
        <w:rPr>
          <w:rFonts w:ascii="mylotus" w:hAnsi="mylotus"/>
          <w:sz w:val="32"/>
          <w:rtl/>
        </w:rPr>
        <w:t xml:space="preserve">مصاديقه </w:t>
      </w:r>
      <w:r w:rsidRPr="00913CD4">
        <w:rPr>
          <w:rFonts w:ascii="mylotus" w:hAnsi="mylotus"/>
          <w:sz w:val="32"/>
          <w:rtl/>
          <w:lang w:bidi="ar-BH"/>
        </w:rPr>
        <w:t>حجية الفتوى</w:t>
      </w:r>
      <w:r w:rsidRPr="00913CD4">
        <w:rPr>
          <w:rFonts w:ascii="mylotus" w:hAnsi="mylotus"/>
          <w:sz w:val="32"/>
          <w:rtl/>
        </w:rPr>
        <w:t xml:space="preserve">. </w:t>
      </w:r>
      <w:r w:rsidRPr="00913CD4">
        <w:rPr>
          <w:rFonts w:ascii="mylotus" w:hAnsi="mylotus"/>
          <w:sz w:val="32"/>
          <w:rtl/>
          <w:lang w:bidi="ar-BH"/>
        </w:rPr>
        <w:t xml:space="preserve">كما في باب الشّهادة، وباب القضاء، وباب الائتمام من حيث الاجتزاء في سقوط الأمر بالفريضة التي هي من ضروريّات الدّين </w:t>
      </w:r>
      <w:proofErr w:type="spellStart"/>
      <w:r w:rsidR="00E1503B" w:rsidRPr="00913CD4">
        <w:rPr>
          <w:rFonts w:ascii="mylotus" w:hAnsi="mylotus"/>
          <w:sz w:val="32"/>
          <w:rtl/>
          <w:lang w:bidi="ar-BH"/>
        </w:rPr>
        <w:t>بالائتمام</w:t>
      </w:r>
      <w:proofErr w:type="spellEnd"/>
      <w:r w:rsidRPr="00913CD4">
        <w:rPr>
          <w:rFonts w:ascii="mylotus" w:hAnsi="mylotus"/>
          <w:sz w:val="32"/>
          <w:rtl/>
        </w:rPr>
        <w:t xml:space="preserve">، </w:t>
      </w:r>
      <w:r w:rsidRPr="00913CD4">
        <w:rPr>
          <w:rFonts w:ascii="mylotus" w:hAnsi="mylotus"/>
          <w:sz w:val="32"/>
          <w:rtl/>
          <w:lang w:bidi="ar-BH"/>
        </w:rPr>
        <w:t xml:space="preserve">وباب </w:t>
      </w:r>
      <w:r w:rsidR="00334914" w:rsidRPr="00913CD4">
        <w:rPr>
          <w:rFonts w:ascii="mylotus" w:hAnsi="mylotus"/>
          <w:sz w:val="32"/>
          <w:rtl/>
          <w:lang w:bidi="ar-BH"/>
        </w:rPr>
        <w:t>الائتمان</w:t>
      </w:r>
      <w:r w:rsidRPr="00913CD4">
        <w:rPr>
          <w:rFonts w:ascii="mylotus" w:hAnsi="mylotus"/>
          <w:sz w:val="32"/>
          <w:rtl/>
          <w:lang w:bidi="ar-BH"/>
        </w:rPr>
        <w:t xml:space="preserve"> على الأموال كما يؤكّد ذلك المدلول </w:t>
      </w:r>
      <w:proofErr w:type="spellStart"/>
      <w:r w:rsidRPr="00913CD4">
        <w:rPr>
          <w:rFonts w:ascii="mylotus" w:hAnsi="mylotus"/>
          <w:sz w:val="32"/>
          <w:rtl/>
          <w:lang w:bidi="ar-BH"/>
        </w:rPr>
        <w:t>الإلتزامي</w:t>
      </w:r>
      <w:proofErr w:type="spellEnd"/>
      <w:r w:rsidRPr="00913CD4">
        <w:rPr>
          <w:rFonts w:ascii="mylotus" w:hAnsi="mylotus"/>
          <w:sz w:val="32"/>
          <w:rtl/>
          <w:lang w:bidi="ar-BH"/>
        </w:rPr>
        <w:t xml:space="preserve"> </w:t>
      </w:r>
      <w:r w:rsidRPr="00913CD4">
        <w:rPr>
          <w:rFonts w:ascii="mylotus" w:hAnsi="mylotus"/>
          <w:sz w:val="32"/>
          <w:rtl/>
        </w:rPr>
        <w:t>ل</w:t>
      </w:r>
      <w:r w:rsidRPr="00913CD4">
        <w:rPr>
          <w:rFonts w:ascii="mylotus" w:hAnsi="mylotus"/>
          <w:sz w:val="32"/>
          <w:rtl/>
          <w:lang w:bidi="ar-BH"/>
        </w:rPr>
        <w:t>لرّواية الشّريفة</w:t>
      </w:r>
      <w:r w:rsidRPr="00913CD4">
        <w:rPr>
          <w:rFonts w:ascii="mylotus" w:hAnsi="mylotus"/>
          <w:sz w:val="32"/>
          <w:rtl/>
        </w:rPr>
        <w:t xml:space="preserve"> -</w:t>
      </w:r>
      <w:r w:rsidRPr="00913CD4">
        <w:rPr>
          <w:rFonts w:ascii="mylotus" w:hAnsi="mylotus"/>
          <w:sz w:val="32"/>
          <w:rtl/>
          <w:lang w:bidi="ar-BH"/>
        </w:rPr>
        <w:lastRenderedPageBreak/>
        <w:t>وهو اعتبار عدم الفسق في الائتمان على الأموال</w:t>
      </w:r>
      <w:r w:rsidRPr="00913CD4">
        <w:rPr>
          <w:rFonts w:ascii="mylotus" w:hAnsi="mylotus"/>
          <w:sz w:val="32"/>
          <w:rtl/>
        </w:rPr>
        <w:t>-</w:t>
      </w:r>
      <w:r w:rsidRPr="00913CD4">
        <w:rPr>
          <w:rFonts w:ascii="mylotus" w:hAnsi="mylotus"/>
          <w:sz w:val="32"/>
          <w:rtl/>
          <w:lang w:bidi="ar-BH"/>
        </w:rPr>
        <w:t xml:space="preserve"> المتضمنة لمعاتبة الإمام عليه السّلام لابنه إسماعيل، كما رواها محمّد بن يعقوب، عن عليّ بن إبراهيم، عن أبيه، عن ابن أبي عمير، عن حمّاد بن عيسى، عن حريز قال: "كانت لإسماعيل بن أبي عبد الله دنانير، وأراد رجل من قريش أن يخرج إلى اليمن، فقال إسماعيل: يا أبه، إنّ فلانًا يريد الخروج إلى اليمن وعندي كذا وكذا دينارًا، أفترى أن أدفعها إليه يبتاع لي بها بضاعة من اليمن؟ فقال أبو عبد الله عليه السّلام: يا بنيّ، أما بلغك أنّه يشرب الخمر؟ فقال إسماعيل: هكذا يقول النّاس، فقال: يا بنيّ لا تفعل. فعصى إسماعيل أباه ودفع إليه دنانيره فاستهلكها ولم يأتِ بشيء منها. فخرج إسماعيل وقضى أنّ أبا عبد الله حجّ، وحجّ إسماعيل تلك السّنة، فجعل يطوف بالبيت ويقول: اللّهمّ أجرني واخلف عليّ، فلحقه أبو عبد الله عليه السّلام فهمزه بيده من خلفه وقال له: مه يا بنيّ، فلا والله ما لك على الله هذا، ولا لك أن يأجرك ولا يخلف عليك، قد بلغك أنّه يشرب الخمر فائتمنته. فقال إسماعيل: يا أبه، إنّي لم أره يشرب الخمر، إنّما سمعت النّاس يقولون، فقال: يا بنيّ، إنّ الله عزّ وجلّ يقول في كتابه: ﴿يُؤْمِنُ بِاللَّهِ وَيُؤْمِنُ لِلْمُؤْمِنِينَ﴾</w:t>
      </w:r>
      <w:r w:rsidRPr="00913CD4">
        <w:rPr>
          <w:rFonts w:ascii="mylotus" w:hAnsi="mylotus"/>
          <w:sz w:val="32"/>
          <w:vertAlign w:val="superscript"/>
          <w:rtl/>
        </w:rPr>
        <w:t>(</w:t>
      </w:r>
      <w:r w:rsidRPr="00913CD4">
        <w:rPr>
          <w:rStyle w:val="ac"/>
          <w:rFonts w:ascii="mylotus" w:hAnsi="mylotus"/>
          <w:sz w:val="32"/>
          <w:rtl/>
        </w:rPr>
        <w:footnoteReference w:id="1"/>
      </w:r>
      <w:r w:rsidRPr="00913CD4">
        <w:rPr>
          <w:rFonts w:ascii="mylotus" w:hAnsi="mylotus"/>
          <w:sz w:val="32"/>
          <w:vertAlign w:val="superscript"/>
          <w:rtl/>
        </w:rPr>
        <w:t>)</w:t>
      </w:r>
      <w:r w:rsidRPr="00913CD4">
        <w:rPr>
          <w:rFonts w:ascii="mylotus" w:hAnsi="mylotus"/>
          <w:sz w:val="32"/>
          <w:rtl/>
          <w:lang w:bidi="ar-BH"/>
        </w:rPr>
        <w:t>: يصدّق لله ويصدّق للمؤمنين، فإذا شهد عندك المؤمنون فصدّقهم"</w:t>
      </w:r>
      <w:r w:rsidR="00B2491F" w:rsidRPr="00913CD4">
        <w:rPr>
          <w:rFonts w:ascii="mylotus" w:hAnsi="mylotus"/>
          <w:sz w:val="32"/>
          <w:vertAlign w:val="superscript"/>
          <w:rtl/>
          <w:lang w:bidi="ar-BH"/>
        </w:rPr>
        <w:t>(</w:t>
      </w:r>
      <w:r w:rsidRPr="00913CD4">
        <w:rPr>
          <w:rStyle w:val="ac"/>
          <w:rFonts w:ascii="mylotus" w:hAnsi="mylotus"/>
          <w:sz w:val="32"/>
          <w:rtl/>
        </w:rPr>
        <w:footnoteReference w:id="2"/>
      </w:r>
      <w:r w:rsidR="00B2491F" w:rsidRPr="00913CD4">
        <w:rPr>
          <w:rFonts w:ascii="mylotus" w:hAnsi="mylotus"/>
          <w:sz w:val="32"/>
          <w:vertAlign w:val="superscript"/>
          <w:rtl/>
          <w:lang w:bidi="ar-BH"/>
        </w:rPr>
        <w:t>)</w:t>
      </w:r>
      <w:r w:rsidRPr="00913CD4">
        <w:rPr>
          <w:rFonts w:ascii="mylotus" w:hAnsi="mylotus"/>
          <w:sz w:val="32"/>
          <w:rtl/>
        </w:rPr>
        <w:t>.</w:t>
      </w:r>
    </w:p>
    <w:p w14:paraId="4FBFFB56" w14:textId="78329E17" w:rsidR="00B04015" w:rsidRPr="00913CD4" w:rsidRDefault="00B04015" w:rsidP="00B04015">
      <w:pPr>
        <w:pStyle w:val="a0"/>
        <w:bidi/>
        <w:rPr>
          <w:rFonts w:ascii="mylotus" w:hAnsi="mylotus"/>
          <w:sz w:val="32"/>
          <w:rtl/>
        </w:rPr>
      </w:pPr>
      <w:r w:rsidRPr="00913CD4">
        <w:rPr>
          <w:rFonts w:ascii="mylotus" w:hAnsi="mylotus"/>
          <w:b/>
          <w:bCs/>
          <w:sz w:val="32"/>
          <w:rtl/>
          <w:lang w:bidi="ar-BH"/>
        </w:rPr>
        <w:t>2- الارتكاز المتشرّعيّ:</w:t>
      </w:r>
      <w:r w:rsidRPr="00913CD4">
        <w:rPr>
          <w:rFonts w:ascii="mylotus" w:hAnsi="mylotus"/>
          <w:sz w:val="32"/>
          <w:rtl/>
          <w:lang w:bidi="ar-BH"/>
        </w:rPr>
        <w:t xml:space="preserve"> الذي هو حجّة بلحاظ كشفه عن رأي المعصوم -</w:t>
      </w:r>
      <w:proofErr w:type="spellStart"/>
      <w:r w:rsidRPr="00913CD4">
        <w:rPr>
          <w:rFonts w:ascii="mylotus" w:hAnsi="mylotus"/>
          <w:sz w:val="32"/>
          <w:rtl/>
          <w:lang w:bidi="ar-BH"/>
        </w:rPr>
        <w:t>ككاشفيّة</w:t>
      </w:r>
      <w:proofErr w:type="spellEnd"/>
      <w:r w:rsidRPr="00913CD4">
        <w:rPr>
          <w:rFonts w:ascii="mylotus" w:hAnsi="mylotus"/>
          <w:sz w:val="32"/>
          <w:rtl/>
          <w:lang w:bidi="ar-BH"/>
        </w:rPr>
        <w:t xml:space="preserve"> الخطاب عنه-، كما نصّ عليه سيّدنا الخوئيّ (قدّس سرّه) في نفس هذا المورد</w:t>
      </w:r>
      <w:r w:rsidRPr="00913CD4">
        <w:rPr>
          <w:rFonts w:ascii="mylotus" w:hAnsi="mylotus"/>
          <w:sz w:val="32"/>
          <w:rtl/>
        </w:rPr>
        <w:t xml:space="preserve"> و</w:t>
      </w:r>
      <w:r w:rsidRPr="00913CD4">
        <w:rPr>
          <w:rFonts w:ascii="mylotus" w:hAnsi="mylotus"/>
          <w:sz w:val="32"/>
          <w:rtl/>
          <w:lang w:bidi="ar-BH"/>
        </w:rPr>
        <w:t>الذي عبّر فيه السيّد الخوئيّ (ر</w:t>
      </w:r>
      <w:r w:rsidR="00E81C50" w:rsidRPr="00913CD4">
        <w:rPr>
          <w:rFonts w:ascii="mylotus" w:hAnsi="mylotus"/>
          <w:sz w:val="32"/>
          <w:rtl/>
          <w:lang w:bidi="ar-BH"/>
        </w:rPr>
        <w:t>حمه الله</w:t>
      </w:r>
      <w:r w:rsidRPr="00913CD4">
        <w:rPr>
          <w:rFonts w:ascii="mylotus" w:hAnsi="mylotus"/>
          <w:sz w:val="32"/>
          <w:rtl/>
          <w:lang w:bidi="ar-BH"/>
        </w:rPr>
        <w:t xml:space="preserve">) بمذاق الشارع، حيث قال : "إلّا أنّ مقتضى دقيق النّظر اعتبار العقل والإيمان والعدالة في المقلَّد بحسب الحدوث والبقاء، والوجه في ذلك أنّ المرتكز في أذهان المتشرّعة الواصل ذلك إليهم يدًا بيد عدم رضا الشّارع بزعامة مَن لا عقل ولا إيمان أو لا عدالة له، بل لا يرضى بزعامة كلّ مَن له منقصة -لا ذنب فقط- مسقطة له عن المكانة والوقار؛ لأنّ المرجعيّة من أعظم المناصب الإلهيّة بعد الولاية، وكيف يرضى الشّارع الحكيم أن يتصدّى لمثل هذا مَن لا قيمة له لدى العقلاء والشّيعة المراجعين إليه؟ وهل يحتمل أن يرجعهم إلى رجل يرقص في المقاهي والأسواق، أو يضرب بالطّنبور في المجامع والمعاهد، ويرتكب ما يرتكبه من الأفعال المنكرة والقبائح، أو مَن لا يتديّن بدين الأئمّة الكرام ويذهب إلى مذاهب باطلة عند الشّيعة المراجعين إليه؟ فإنّ المستفاد من مذاق الشّرع الأنور عدم رضا الشّارع بإمامة مَن هو كذلك في صلاة الجماعة حيث اشترط في إمام الجماعة العدالة، فما ظنّك بالزّعامة العظمى التي هي أعظم المناصب بعد الولاية؟ إذن؛ فاحتمال جواز الرّجوع إلى غير العاقل أو غير العادل مقطوع العدم، فالعقل والإيمان والعدالة معتبرة في المقلَّد حدوثًا </w:t>
      </w:r>
      <w:r w:rsidRPr="00913CD4">
        <w:rPr>
          <w:rFonts w:ascii="mylotus" w:hAnsi="mylotus"/>
          <w:sz w:val="32"/>
          <w:rtl/>
          <w:lang w:bidi="ar-BH"/>
        </w:rPr>
        <w:lastRenderedPageBreak/>
        <w:t>كما أنّها معتبرة بقاءً لعَين ما قدّمنا، ولعلّ ما ذكرناه من الارتكاز المتشرّعيّ هو المراد ممّا وقع في كلام شيخنا الأنصاريّ (قدّس سرّه) من الإجماع على اعتبار الإيمان والعقل والعدالة في المقلَّد"</w:t>
      </w:r>
      <w:r w:rsidRPr="00913CD4">
        <w:rPr>
          <w:rFonts w:ascii="mylotus" w:hAnsi="mylotus"/>
          <w:sz w:val="32"/>
          <w:vertAlign w:val="superscript"/>
          <w:rtl/>
        </w:rPr>
        <w:t>(</w:t>
      </w:r>
      <w:r w:rsidRPr="00913CD4">
        <w:rPr>
          <w:rStyle w:val="ac"/>
          <w:rFonts w:ascii="mylotus" w:hAnsi="mylotus"/>
          <w:sz w:val="32"/>
          <w:rtl/>
        </w:rPr>
        <w:footnoteReference w:id="3"/>
      </w:r>
      <w:r w:rsidRPr="00913CD4">
        <w:rPr>
          <w:rFonts w:ascii="mylotus" w:hAnsi="mylotus"/>
          <w:sz w:val="32"/>
          <w:vertAlign w:val="superscript"/>
          <w:rtl/>
        </w:rPr>
        <w:t>)</w:t>
      </w:r>
      <w:r w:rsidRPr="00913CD4">
        <w:rPr>
          <w:rFonts w:ascii="mylotus" w:hAnsi="mylotus"/>
          <w:sz w:val="32"/>
          <w:rtl/>
          <w:lang w:bidi="ar-BH"/>
        </w:rPr>
        <w:t>.</w:t>
      </w:r>
      <w:r w:rsidRPr="00913CD4">
        <w:rPr>
          <w:rFonts w:ascii="mylotus" w:hAnsi="mylotus"/>
          <w:sz w:val="32"/>
          <w:rtl/>
        </w:rPr>
        <w:t xml:space="preserve"> </w:t>
      </w:r>
      <w:r w:rsidRPr="00913CD4">
        <w:rPr>
          <w:rFonts w:ascii="mylotus" w:hAnsi="mylotus"/>
          <w:sz w:val="32"/>
          <w:rtl/>
          <w:lang w:bidi="ar-BH"/>
        </w:rPr>
        <w:t>فالملاحظ أن</w:t>
      </w:r>
      <w:r w:rsidRPr="00913CD4">
        <w:rPr>
          <w:rFonts w:ascii="mylotus" w:hAnsi="mylotus"/>
          <w:sz w:val="32"/>
          <w:rtl/>
        </w:rPr>
        <w:t>َّه</w:t>
      </w:r>
      <w:r w:rsidRPr="00913CD4">
        <w:rPr>
          <w:rFonts w:ascii="mylotus" w:hAnsi="mylotus"/>
          <w:sz w:val="32"/>
          <w:rtl/>
          <w:lang w:bidi="ar-BH"/>
        </w:rPr>
        <w:t xml:space="preserve"> </w:t>
      </w:r>
      <w:r w:rsidR="001C49FF" w:rsidRPr="00913CD4">
        <w:rPr>
          <w:rFonts w:ascii="mylotus" w:hAnsi="mylotus"/>
          <w:sz w:val="32"/>
          <w:rtl/>
          <w:lang w:bidi="ar-BH"/>
        </w:rPr>
        <w:t>جَ</w:t>
      </w:r>
      <w:r w:rsidRPr="00913CD4">
        <w:rPr>
          <w:rFonts w:ascii="mylotus" w:hAnsi="mylotus"/>
          <w:sz w:val="32"/>
          <w:rtl/>
          <w:lang w:bidi="ar-BH"/>
        </w:rPr>
        <w:t>عل الارتكاز المتشرّعيّ واسطةً في الوصول إلى مذاق الشّارع، وهو أنّه لا يرضى بأن يصل إلى مقام الزّعامة مَن لا عدالة له.</w:t>
      </w:r>
    </w:p>
    <w:p w14:paraId="1319E15F" w14:textId="77777777" w:rsidR="00B04015" w:rsidRPr="00913CD4" w:rsidRDefault="00B04015" w:rsidP="00B04015">
      <w:pPr>
        <w:pStyle w:val="a0"/>
        <w:bidi/>
        <w:rPr>
          <w:rFonts w:ascii="mylotus" w:hAnsi="mylotus"/>
          <w:sz w:val="32"/>
          <w:rtl/>
        </w:rPr>
      </w:pPr>
      <w:r w:rsidRPr="00913CD4">
        <w:rPr>
          <w:rFonts w:ascii="mylotus" w:hAnsi="mylotus"/>
          <w:sz w:val="32"/>
          <w:rtl/>
          <w:lang w:bidi="ar-BH"/>
        </w:rPr>
        <w:t>كما قال في الحديث عن اشتراط الرّجولة والذّكورة في المقلَّد أيضا: "والصّحيح أنّ المقلَّد يعتبر فيه الرّجولة ولا يسوغ تقليد المرأة بوجه، وذلك لأنّا قد استفدنا من مذاق الشّارع أنّ الوظيفة المرغوبة من النّساء إنّما هي التّحجّب والتّستّر وتصدّي الأمور البيتيّة دون التّدخّل فيما ينافي تلك الأمور، ومن الظّاهر أنّ التّصدّي للإفتاء بحسب العادة جعلٌ للنّفس في معرض الرّجوع والسّؤال لأنّهما مقتضى الرّئاسة للمسلمين، ولا يرضى الشّارع بجعل المرأة نفسها معرضًا لذلك أبدًا، كيف ولم يرضَ بإمامتها للرّجال في صلاة الجماعة؟ فما ظنّك بكونها قائمةً بأمورهم ومديرةً لشؤون المجتمع ومتصدّيةً للزّعامة الكبرى للمسلمين؟ وبهذا الأمر المرتكز القطعيّ في أذهان المتشرّعة يقيّد الإطلاق ويُردَع عن السّيرة العقلائيّة الجارية على رجوع الجاهل إلى العالم مطلقًا رجلاً كان أو امرأةً"</w:t>
      </w:r>
      <w:r w:rsidRPr="00913CD4">
        <w:rPr>
          <w:rFonts w:ascii="mylotus" w:hAnsi="mylotus"/>
          <w:sz w:val="32"/>
          <w:vertAlign w:val="superscript"/>
          <w:rtl/>
          <w:lang w:bidi="ar-BH"/>
        </w:rPr>
        <w:t>(</w:t>
      </w:r>
      <w:r w:rsidRPr="00913CD4">
        <w:rPr>
          <w:rStyle w:val="ac"/>
          <w:rFonts w:ascii="mylotus" w:hAnsi="mylotus"/>
          <w:sz w:val="32"/>
          <w:rtl/>
        </w:rPr>
        <w:footnoteReference w:id="4"/>
      </w:r>
      <w:r w:rsidRPr="00913CD4">
        <w:rPr>
          <w:rFonts w:ascii="mylotus" w:hAnsi="mylotus"/>
          <w:sz w:val="32"/>
          <w:vertAlign w:val="superscript"/>
          <w:rtl/>
          <w:lang w:bidi="ar-BH"/>
        </w:rPr>
        <w:t>)</w:t>
      </w:r>
      <w:r w:rsidRPr="00913CD4">
        <w:rPr>
          <w:rFonts w:ascii="mylotus" w:hAnsi="mylotus"/>
          <w:sz w:val="32"/>
          <w:rtl/>
          <w:lang w:bidi="ar-BH"/>
        </w:rPr>
        <w:t>.</w:t>
      </w:r>
      <w:r w:rsidRPr="00913CD4">
        <w:rPr>
          <w:rFonts w:ascii="mylotus" w:hAnsi="mylotus"/>
          <w:sz w:val="32"/>
          <w:rtl/>
        </w:rPr>
        <w:t xml:space="preserve"> </w:t>
      </w:r>
      <w:r w:rsidRPr="00913CD4">
        <w:rPr>
          <w:rFonts w:ascii="mylotus" w:hAnsi="mylotus"/>
          <w:sz w:val="32"/>
          <w:rtl/>
          <w:lang w:bidi="ar-BH"/>
        </w:rPr>
        <w:t>مما يؤكد</w:t>
      </w:r>
      <w:r w:rsidRPr="00913CD4">
        <w:rPr>
          <w:rFonts w:ascii="mylotus" w:hAnsi="mylotus"/>
          <w:sz w:val="32"/>
          <w:rtl/>
        </w:rPr>
        <w:t xml:space="preserve"> </w:t>
      </w:r>
      <w:r w:rsidRPr="00913CD4">
        <w:rPr>
          <w:rFonts w:ascii="mylotus" w:hAnsi="mylotus"/>
          <w:sz w:val="32"/>
          <w:rtl/>
          <w:lang w:bidi="ar-BH"/>
        </w:rPr>
        <w:t>أنّه لا يرى مذاق الشّارع هو الدّليل، وإنما هو حكم اكتشف من خلال الارتكاز المتشرّعيّ</w:t>
      </w:r>
      <w:r w:rsidRPr="00913CD4">
        <w:rPr>
          <w:rFonts w:ascii="mylotus" w:hAnsi="mylotus"/>
          <w:sz w:val="32"/>
          <w:rtl/>
        </w:rPr>
        <w:t>.</w:t>
      </w:r>
    </w:p>
    <w:p w14:paraId="62E7A5CB" w14:textId="77777777" w:rsidR="00B04015" w:rsidRPr="00913CD4" w:rsidRDefault="00B04015" w:rsidP="00B04015">
      <w:pPr>
        <w:pStyle w:val="a0"/>
        <w:bidi/>
        <w:rPr>
          <w:rFonts w:ascii="mylotus" w:hAnsi="mylotus"/>
          <w:b/>
          <w:bCs/>
          <w:sz w:val="32"/>
          <w:rtl/>
        </w:rPr>
      </w:pPr>
      <w:r w:rsidRPr="00913CD4">
        <w:rPr>
          <w:rFonts w:ascii="mylotus" w:hAnsi="mylotus"/>
          <w:b/>
          <w:bCs/>
          <w:sz w:val="32"/>
          <w:rtl/>
          <w:lang w:bidi="ar-BH"/>
        </w:rPr>
        <w:t>وأما الأمثلة التي سيقت لإثبات حجية مذاق الشارع كدليل على تحديد الحكم في عرض الأدلة الأخرى فهي محل تأمل:</w:t>
      </w:r>
    </w:p>
    <w:p w14:paraId="6BD043FF" w14:textId="77777777" w:rsidR="00B04015" w:rsidRPr="00913CD4" w:rsidRDefault="00B04015" w:rsidP="00B04015">
      <w:pPr>
        <w:pStyle w:val="a0"/>
        <w:bidi/>
        <w:rPr>
          <w:rFonts w:ascii="mylotus" w:hAnsi="mylotus"/>
          <w:sz w:val="32"/>
          <w:rtl/>
        </w:rPr>
      </w:pPr>
      <w:r w:rsidRPr="00913CD4">
        <w:rPr>
          <w:rFonts w:ascii="mylotus" w:hAnsi="mylotus"/>
          <w:b/>
          <w:bCs/>
          <w:sz w:val="32"/>
          <w:rtl/>
        </w:rPr>
        <w:t>ف</w:t>
      </w:r>
      <w:r w:rsidRPr="00913CD4">
        <w:rPr>
          <w:rFonts w:ascii="mylotus" w:hAnsi="mylotus"/>
          <w:b/>
          <w:bCs/>
          <w:sz w:val="32"/>
          <w:rtl/>
          <w:lang w:bidi="ar-BH"/>
        </w:rPr>
        <w:t>المثال الأوّل:</w:t>
      </w:r>
      <w:r w:rsidRPr="00913CD4">
        <w:rPr>
          <w:rFonts w:ascii="mylotus" w:hAnsi="mylotus"/>
          <w:sz w:val="32"/>
          <w:rtl/>
          <w:lang w:bidi="ar-BH"/>
        </w:rPr>
        <w:t xml:space="preserve"> ما ذكره السيّد الخوئيّ (قده) في باب الصّوم</w:t>
      </w:r>
      <w:bookmarkStart w:id="0" w:name="_GoBack"/>
      <w:bookmarkEnd w:id="0"/>
      <w:r w:rsidRPr="00913CD4">
        <w:rPr>
          <w:rFonts w:ascii="mylotus" w:hAnsi="mylotus"/>
          <w:sz w:val="32"/>
          <w:vertAlign w:val="superscript"/>
          <w:rtl/>
        </w:rPr>
        <w:t>(</w:t>
      </w:r>
      <w:r w:rsidRPr="00913CD4">
        <w:rPr>
          <w:rStyle w:val="ac"/>
          <w:rFonts w:ascii="mylotus" w:hAnsi="mylotus"/>
          <w:sz w:val="32"/>
          <w:rtl/>
        </w:rPr>
        <w:footnoteReference w:id="5"/>
      </w:r>
      <w:r w:rsidRPr="00913CD4">
        <w:rPr>
          <w:rFonts w:ascii="mylotus" w:hAnsi="mylotus"/>
          <w:sz w:val="32"/>
          <w:vertAlign w:val="superscript"/>
          <w:rtl/>
        </w:rPr>
        <w:t>)</w:t>
      </w:r>
      <w:r w:rsidRPr="00913CD4">
        <w:rPr>
          <w:rFonts w:ascii="mylotus" w:hAnsi="mylotus"/>
          <w:sz w:val="32"/>
          <w:rtl/>
          <w:lang w:bidi="ar-BH"/>
        </w:rPr>
        <w:t xml:space="preserve"> من أنّ المكلف الذي أفطر على الحرام إذا عجز عن إحدى خصال الكفّارة لم تسقط عنه باقي الخصال؛ وذلك لأنّ مَن أفطر على حلال عمدا وعجز عن بعض الكفّارة لم تسقط عنه بمقتضى الرّوايات، فكيف تسقط الكفّارة عمّن أفطر على حرام لعجزه عن بعض الخصال؟ </w:t>
      </w:r>
      <w:r w:rsidRPr="00913CD4">
        <w:rPr>
          <w:rFonts w:ascii="mylotus" w:hAnsi="mylotus"/>
          <w:b/>
          <w:bCs/>
          <w:sz w:val="32"/>
          <w:rtl/>
          <w:lang w:bidi="ar-BH"/>
        </w:rPr>
        <w:t>وفيه:</w:t>
      </w:r>
      <w:r w:rsidRPr="00913CD4">
        <w:rPr>
          <w:rFonts w:ascii="mylotus" w:hAnsi="mylotus"/>
          <w:sz w:val="32"/>
          <w:rtl/>
          <w:lang w:bidi="ar-BH"/>
        </w:rPr>
        <w:t xml:space="preserve"> إن هذا استدلال بمفهوم الأولويّة، وليس من الاستدلال بمذاق الشّارع.</w:t>
      </w:r>
    </w:p>
    <w:p w14:paraId="3C994F41" w14:textId="77777777" w:rsidR="008D6B2A" w:rsidRDefault="00B04015" w:rsidP="00B04015">
      <w:pPr>
        <w:pStyle w:val="a0"/>
        <w:bidi/>
        <w:rPr>
          <w:rFonts w:ascii="mylotus" w:hAnsi="mylotus" w:hint="cs"/>
          <w:sz w:val="32"/>
          <w:rtl/>
          <w:lang w:bidi="ar-BH"/>
        </w:rPr>
      </w:pPr>
      <w:r w:rsidRPr="00913CD4">
        <w:rPr>
          <w:rFonts w:ascii="mylotus" w:hAnsi="mylotus"/>
          <w:b/>
          <w:bCs/>
          <w:sz w:val="32"/>
          <w:rtl/>
        </w:rPr>
        <w:t>و</w:t>
      </w:r>
      <w:r w:rsidRPr="00913CD4">
        <w:rPr>
          <w:rFonts w:ascii="mylotus" w:hAnsi="mylotus"/>
          <w:b/>
          <w:bCs/>
          <w:sz w:val="32"/>
          <w:rtl/>
          <w:lang w:bidi="ar-BH"/>
        </w:rPr>
        <w:t>المثال الثّاني:</w:t>
      </w:r>
      <w:r w:rsidRPr="00913CD4">
        <w:rPr>
          <w:rFonts w:ascii="mylotus" w:hAnsi="mylotus"/>
          <w:sz w:val="32"/>
          <w:rtl/>
          <w:lang w:bidi="ar-BH"/>
        </w:rPr>
        <w:t xml:space="preserve"> أنّه (قد</w:t>
      </w:r>
      <w:r w:rsidRPr="00913CD4">
        <w:rPr>
          <w:rFonts w:ascii="mylotus" w:hAnsi="mylotus"/>
          <w:sz w:val="32"/>
          <w:rtl/>
        </w:rPr>
        <w:t>س سره</w:t>
      </w:r>
      <w:r w:rsidRPr="00913CD4">
        <w:rPr>
          <w:rFonts w:ascii="mylotus" w:hAnsi="mylotus"/>
          <w:sz w:val="32"/>
          <w:rtl/>
          <w:lang w:bidi="ar-BH"/>
        </w:rPr>
        <w:t>) استدلّ بمذاق الشّارع على اعتبار العدالة في مرجع التّقليد.</w:t>
      </w:r>
    </w:p>
    <w:p w14:paraId="2FCD7304" w14:textId="60825431" w:rsidR="00B04015" w:rsidRPr="00913CD4" w:rsidRDefault="00B04015" w:rsidP="008D6B2A">
      <w:pPr>
        <w:pStyle w:val="a0"/>
        <w:bidi/>
        <w:rPr>
          <w:rFonts w:ascii="mylotus" w:hAnsi="mylotus"/>
          <w:sz w:val="32"/>
          <w:rtl/>
        </w:rPr>
      </w:pPr>
      <w:r w:rsidRPr="00913CD4">
        <w:rPr>
          <w:rFonts w:ascii="mylotus" w:hAnsi="mylotus"/>
          <w:b/>
          <w:bCs/>
          <w:sz w:val="32"/>
          <w:rtl/>
          <w:lang w:bidi="ar-BH"/>
        </w:rPr>
        <w:t>ويلاحظ على التّمثيل به لمذاق الشّارع</w:t>
      </w:r>
      <w:r w:rsidR="00F635B7" w:rsidRPr="00913CD4">
        <w:rPr>
          <w:rFonts w:ascii="mylotus" w:hAnsi="mylotus"/>
          <w:b/>
          <w:bCs/>
          <w:sz w:val="32"/>
          <w:rtl/>
          <w:lang w:bidi="ar-BH"/>
        </w:rPr>
        <w:t>:</w:t>
      </w:r>
      <w:r w:rsidRPr="00913CD4">
        <w:rPr>
          <w:rFonts w:ascii="mylotus" w:hAnsi="mylotus"/>
          <w:sz w:val="32"/>
          <w:rtl/>
        </w:rPr>
        <w:t xml:space="preserve"> </w:t>
      </w:r>
      <w:r w:rsidRPr="00913CD4">
        <w:rPr>
          <w:rFonts w:ascii="mylotus" w:hAnsi="mylotus"/>
          <w:sz w:val="32"/>
          <w:rtl/>
          <w:lang w:bidi="ar-BH"/>
        </w:rPr>
        <w:t>أنّه إما أن يكون هناك جامع حقيقي بين الائتمام وبين حجّيّة الفتوى</w:t>
      </w:r>
      <w:r w:rsidRPr="00913CD4">
        <w:rPr>
          <w:rFonts w:ascii="mylotus" w:hAnsi="mylotus"/>
          <w:sz w:val="32"/>
          <w:rtl/>
        </w:rPr>
        <w:t>،</w:t>
      </w:r>
      <w:r w:rsidRPr="00913CD4">
        <w:rPr>
          <w:rFonts w:ascii="mylotus" w:hAnsi="mylotus"/>
          <w:sz w:val="32"/>
          <w:rtl/>
          <w:lang w:bidi="ar-BH"/>
        </w:rPr>
        <w:t xml:space="preserve"> أو</w:t>
      </w:r>
      <w:r w:rsidRPr="00913CD4">
        <w:rPr>
          <w:rFonts w:ascii="mylotus" w:hAnsi="mylotus"/>
          <w:sz w:val="32"/>
          <w:rtl/>
        </w:rPr>
        <w:t xml:space="preserve"> </w:t>
      </w:r>
      <w:r w:rsidRPr="00913CD4">
        <w:rPr>
          <w:rFonts w:ascii="mylotus" w:hAnsi="mylotus"/>
          <w:sz w:val="32"/>
          <w:rtl/>
          <w:lang w:bidi="ar-BH"/>
        </w:rPr>
        <w:t>لا</w:t>
      </w:r>
      <w:r w:rsidRPr="00913CD4">
        <w:rPr>
          <w:rFonts w:ascii="mylotus" w:hAnsi="mylotus"/>
          <w:sz w:val="32"/>
          <w:rtl/>
        </w:rPr>
        <w:t xml:space="preserve"> يوجد</w:t>
      </w:r>
      <w:r w:rsidRPr="00913CD4">
        <w:rPr>
          <w:rFonts w:ascii="mylotus" w:hAnsi="mylotus"/>
          <w:sz w:val="32"/>
          <w:rtl/>
          <w:lang w:bidi="ar-BH"/>
        </w:rPr>
        <w:t>، فإن كان في البين جامع بين الائتمام وحجّيّة الفتوى -وهو المعذّريّة والمسقطيّة مثلا</w:t>
      </w:r>
      <w:r w:rsidRPr="00913CD4">
        <w:rPr>
          <w:rFonts w:ascii="mylotus" w:hAnsi="mylotus"/>
          <w:sz w:val="32"/>
          <w:rtl/>
        </w:rPr>
        <w:t>-</w:t>
      </w:r>
      <w:r w:rsidRPr="00913CD4">
        <w:rPr>
          <w:rFonts w:ascii="mylotus" w:hAnsi="mylotus"/>
          <w:sz w:val="32"/>
          <w:rtl/>
          <w:lang w:bidi="ar-BH"/>
        </w:rPr>
        <w:t xml:space="preserve">، </w:t>
      </w:r>
      <w:r w:rsidRPr="00913CD4">
        <w:rPr>
          <w:rFonts w:ascii="mylotus" w:hAnsi="mylotus"/>
          <w:sz w:val="32"/>
          <w:rtl/>
          <w:lang w:bidi="ar-BH"/>
        </w:rPr>
        <w:lastRenderedPageBreak/>
        <w:t xml:space="preserve">فكما أنّ الائتمام مسقط للأمر بالقراءة عن المأموم، فكذلك </w:t>
      </w:r>
      <w:r w:rsidRPr="00913CD4">
        <w:rPr>
          <w:rFonts w:ascii="mylotus" w:hAnsi="mylotus"/>
          <w:sz w:val="32"/>
          <w:rtl/>
        </w:rPr>
        <w:t xml:space="preserve">الاستناد </w:t>
      </w:r>
      <w:r w:rsidRPr="00913CD4">
        <w:rPr>
          <w:rFonts w:ascii="mylotus" w:hAnsi="mylotus"/>
          <w:sz w:val="32"/>
          <w:rtl/>
          <w:lang w:bidi="ar-BH"/>
        </w:rPr>
        <w:t>لفتوى الفقيه معذّر في فرض مخالفة الواقع</w:t>
      </w:r>
      <w:r w:rsidRPr="00913CD4">
        <w:rPr>
          <w:rFonts w:ascii="mylotus" w:hAnsi="mylotus"/>
          <w:sz w:val="32"/>
          <w:rtl/>
        </w:rPr>
        <w:t>؛</w:t>
      </w:r>
      <w:r w:rsidRPr="00913CD4">
        <w:rPr>
          <w:rFonts w:ascii="mylotus" w:hAnsi="mylotus"/>
          <w:sz w:val="32"/>
          <w:rtl/>
          <w:lang w:bidi="ar-BH"/>
        </w:rPr>
        <w:t xml:space="preserve"> بل هو مسقط للأمر واقعا بناءً على إجزاء الأمر الظّاهريّ عن الأمر الواقعيّ حتى في الفرائض. </w:t>
      </w:r>
      <w:r w:rsidRPr="00913CD4">
        <w:rPr>
          <w:rFonts w:ascii="mylotus" w:hAnsi="mylotus"/>
          <w:sz w:val="32"/>
          <w:rtl/>
        </w:rPr>
        <w:t>و</w:t>
      </w:r>
      <w:r w:rsidRPr="00913CD4">
        <w:rPr>
          <w:rFonts w:ascii="mylotus" w:hAnsi="mylotus"/>
          <w:sz w:val="32"/>
          <w:rtl/>
          <w:lang w:bidi="ar-BH"/>
        </w:rPr>
        <w:t>هذا يعني أن مناط الاستدلال هو الأولويّة، لا الاستناد إلى مذاق الشّارع. وإن لم يكن بينهما جامع حقيقي فلا</w:t>
      </w:r>
      <w:r w:rsidRPr="00913CD4">
        <w:rPr>
          <w:rFonts w:ascii="mylotus" w:hAnsi="mylotus"/>
          <w:sz w:val="32"/>
          <w:rtl/>
        </w:rPr>
        <w:t xml:space="preserve"> </w:t>
      </w:r>
      <w:r w:rsidRPr="00913CD4">
        <w:rPr>
          <w:rFonts w:ascii="mylotus" w:hAnsi="mylotus"/>
          <w:sz w:val="32"/>
          <w:rtl/>
          <w:lang w:bidi="ar-BH"/>
        </w:rPr>
        <w:t>مقتضي للتشريك بينهما، حيث إن حجّيّة فتوى الفقيه ليست من باب النيابة ولا</w:t>
      </w:r>
      <w:r w:rsidRPr="00913CD4">
        <w:rPr>
          <w:rFonts w:ascii="mylotus" w:hAnsi="mylotus"/>
          <w:sz w:val="32"/>
          <w:rtl/>
        </w:rPr>
        <w:t xml:space="preserve"> </w:t>
      </w:r>
      <w:r w:rsidRPr="00913CD4">
        <w:rPr>
          <w:rFonts w:ascii="mylotus" w:hAnsi="mylotus"/>
          <w:sz w:val="32"/>
          <w:rtl/>
          <w:lang w:bidi="ar-BH"/>
        </w:rPr>
        <w:t xml:space="preserve">من الإتباع </w:t>
      </w:r>
      <w:r w:rsidR="0052265A" w:rsidRPr="00913CD4">
        <w:rPr>
          <w:rFonts w:ascii="mylotus" w:hAnsi="mylotus"/>
          <w:sz w:val="32"/>
          <w:rtl/>
          <w:lang w:bidi="ar-BH"/>
        </w:rPr>
        <w:t>والائتمام</w:t>
      </w:r>
      <w:r w:rsidRPr="00913CD4">
        <w:rPr>
          <w:rFonts w:ascii="mylotus" w:hAnsi="mylotus"/>
          <w:sz w:val="32"/>
          <w:rtl/>
          <w:lang w:bidi="ar-BH"/>
        </w:rPr>
        <w:t>، بل من باب حجّيّة قول الخبير</w:t>
      </w:r>
      <w:r w:rsidRPr="00913CD4">
        <w:rPr>
          <w:rFonts w:ascii="mylotus" w:hAnsi="mylotus"/>
          <w:sz w:val="32"/>
          <w:rtl/>
        </w:rPr>
        <w:t>،</w:t>
      </w:r>
      <w:r w:rsidRPr="00913CD4">
        <w:rPr>
          <w:rFonts w:ascii="mylotus" w:hAnsi="mylotus"/>
          <w:sz w:val="32"/>
          <w:rtl/>
          <w:lang w:bidi="ar-BH"/>
        </w:rPr>
        <w:t xml:space="preserve"> كما في سائر موارد حجية قول أهل الخبرة في </w:t>
      </w:r>
      <w:r w:rsidRPr="00913CD4">
        <w:rPr>
          <w:rFonts w:ascii="mylotus" w:hAnsi="mylotus"/>
          <w:sz w:val="32"/>
          <w:rtl/>
        </w:rPr>
        <w:t xml:space="preserve">الذي </w:t>
      </w:r>
      <w:r w:rsidRPr="00913CD4">
        <w:rPr>
          <w:rFonts w:ascii="mylotus" w:hAnsi="mylotus"/>
          <w:sz w:val="32"/>
          <w:rtl/>
          <w:lang w:bidi="ar-BH"/>
        </w:rPr>
        <w:t>هم خبراء فيه، سواء عمل المكلف بالفتوى أم لا، وسواء ثبتت للفقيه زعامة من باب الولاية في الأمور الحسبية أم لا، إذ لا</w:t>
      </w:r>
      <w:r w:rsidRPr="00913CD4">
        <w:rPr>
          <w:rFonts w:ascii="mylotus" w:hAnsi="mylotus"/>
          <w:sz w:val="32"/>
          <w:rtl/>
        </w:rPr>
        <w:t xml:space="preserve"> </w:t>
      </w:r>
      <w:r w:rsidRPr="00913CD4">
        <w:rPr>
          <w:rFonts w:ascii="mylotus" w:hAnsi="mylotus"/>
          <w:sz w:val="32"/>
          <w:rtl/>
          <w:lang w:bidi="ar-BH"/>
        </w:rPr>
        <w:t>موجب للخلط بين المنصبين</w:t>
      </w:r>
      <w:r w:rsidRPr="00913CD4">
        <w:rPr>
          <w:rFonts w:ascii="mylotus" w:hAnsi="mylotus"/>
          <w:sz w:val="32"/>
          <w:rtl/>
        </w:rPr>
        <w:t xml:space="preserve"> -</w:t>
      </w:r>
      <w:r w:rsidRPr="00913CD4">
        <w:rPr>
          <w:rFonts w:ascii="mylotus" w:hAnsi="mylotus"/>
          <w:sz w:val="32"/>
          <w:rtl/>
          <w:lang w:bidi="ar-BH"/>
        </w:rPr>
        <w:t>حجية الفتوى</w:t>
      </w:r>
      <w:r w:rsidRPr="00913CD4">
        <w:rPr>
          <w:rFonts w:ascii="mylotus" w:hAnsi="mylotus"/>
          <w:sz w:val="32"/>
          <w:rtl/>
        </w:rPr>
        <w:t>،</w:t>
      </w:r>
      <w:r w:rsidRPr="00913CD4">
        <w:rPr>
          <w:rFonts w:ascii="mylotus" w:hAnsi="mylotus"/>
          <w:sz w:val="32"/>
          <w:rtl/>
          <w:lang w:bidi="ar-BH"/>
        </w:rPr>
        <w:t xml:space="preserve"> وثبوت الولاية</w:t>
      </w:r>
      <w:r w:rsidRPr="00913CD4">
        <w:rPr>
          <w:rFonts w:ascii="mylotus" w:hAnsi="mylotus"/>
          <w:sz w:val="32"/>
          <w:rtl/>
        </w:rPr>
        <w:t>-</w:t>
      </w:r>
      <w:r w:rsidRPr="00913CD4">
        <w:rPr>
          <w:rFonts w:ascii="mylotus" w:hAnsi="mylotus"/>
          <w:sz w:val="32"/>
          <w:rtl/>
          <w:lang w:bidi="ar-BH"/>
        </w:rPr>
        <w:t xml:space="preserve"> في المقام، حيث إن البحث في شروط حجية الفتوى بما</w:t>
      </w:r>
      <w:r w:rsidRPr="00913CD4">
        <w:rPr>
          <w:rFonts w:ascii="mylotus" w:hAnsi="mylotus"/>
          <w:sz w:val="32"/>
          <w:rtl/>
        </w:rPr>
        <w:t xml:space="preserve"> </w:t>
      </w:r>
      <w:r w:rsidRPr="00913CD4">
        <w:rPr>
          <w:rFonts w:ascii="mylotus" w:hAnsi="mylotus"/>
          <w:sz w:val="32"/>
          <w:rtl/>
          <w:lang w:bidi="ar-BH"/>
        </w:rPr>
        <w:t xml:space="preserve">هي </w:t>
      </w:r>
      <w:r w:rsidRPr="00913CD4">
        <w:rPr>
          <w:rFonts w:ascii="mylotus" w:hAnsi="mylotus"/>
          <w:sz w:val="32"/>
          <w:rtl/>
        </w:rPr>
        <w:t>-</w:t>
      </w:r>
      <w:r w:rsidRPr="00913CD4">
        <w:rPr>
          <w:rFonts w:ascii="mylotus" w:hAnsi="mylotus"/>
          <w:sz w:val="32"/>
          <w:rtl/>
          <w:lang w:bidi="ar-BH"/>
        </w:rPr>
        <w:t>لا</w:t>
      </w:r>
      <w:r w:rsidRPr="00913CD4">
        <w:rPr>
          <w:rFonts w:ascii="mylotus" w:hAnsi="mylotus"/>
          <w:sz w:val="32"/>
          <w:rtl/>
        </w:rPr>
        <w:t xml:space="preserve"> </w:t>
      </w:r>
      <w:r w:rsidRPr="00913CD4">
        <w:rPr>
          <w:rFonts w:ascii="mylotus" w:hAnsi="mylotus"/>
          <w:sz w:val="32"/>
          <w:rtl/>
          <w:lang w:bidi="ar-BH"/>
        </w:rPr>
        <w:t>بما للفقيه من زعامة</w:t>
      </w:r>
      <w:r w:rsidRPr="00913CD4">
        <w:rPr>
          <w:rFonts w:ascii="mylotus" w:hAnsi="mylotus"/>
          <w:sz w:val="32"/>
          <w:rtl/>
        </w:rPr>
        <w:t>-</w:t>
      </w:r>
      <w:r w:rsidRPr="00913CD4">
        <w:rPr>
          <w:rFonts w:ascii="mylotus" w:hAnsi="mylotus"/>
          <w:sz w:val="32"/>
          <w:rtl/>
          <w:lang w:bidi="ar-BH"/>
        </w:rPr>
        <w:t xml:space="preserve"> من باب الولاية، وأثر حجية الفتوى أنه إن كان عمله موافقا للفتوى أجزأته وإن لم يستند لها</w:t>
      </w:r>
      <w:r w:rsidRPr="00913CD4">
        <w:rPr>
          <w:rFonts w:ascii="mylotus" w:hAnsi="mylotus"/>
          <w:sz w:val="32"/>
          <w:rtl/>
        </w:rPr>
        <w:t xml:space="preserve">. </w:t>
      </w:r>
      <w:r w:rsidRPr="00913CD4">
        <w:rPr>
          <w:rFonts w:ascii="mylotus" w:hAnsi="mylotus"/>
          <w:sz w:val="32"/>
          <w:rtl/>
          <w:lang w:bidi="ar-BH"/>
        </w:rPr>
        <w:t xml:space="preserve">والنتيجة أن اشتراط العدالة في </w:t>
      </w:r>
      <w:r w:rsidR="002336EE" w:rsidRPr="00913CD4">
        <w:rPr>
          <w:rFonts w:ascii="mylotus" w:hAnsi="mylotus"/>
          <w:sz w:val="32"/>
          <w:rtl/>
          <w:lang w:bidi="ar-BH"/>
        </w:rPr>
        <w:t>الائتمام</w:t>
      </w:r>
      <w:r w:rsidRPr="00913CD4">
        <w:rPr>
          <w:rFonts w:ascii="mylotus" w:hAnsi="mylotus"/>
          <w:sz w:val="32"/>
          <w:rtl/>
          <w:lang w:bidi="ar-BH"/>
        </w:rPr>
        <w:t xml:space="preserve"> لا يعني بأيّ وجه اشتراطها في حجية الفتوى، فإن تم </w:t>
      </w:r>
      <w:r w:rsidR="002336EE" w:rsidRPr="00913CD4">
        <w:rPr>
          <w:rFonts w:ascii="mylotus" w:hAnsi="mylotus"/>
          <w:sz w:val="32"/>
          <w:rtl/>
          <w:lang w:bidi="ar-BH"/>
        </w:rPr>
        <w:t>الارتكاز</w:t>
      </w:r>
      <w:r w:rsidRPr="00913CD4">
        <w:rPr>
          <w:rFonts w:ascii="mylotus" w:hAnsi="mylotus"/>
          <w:sz w:val="32"/>
          <w:rtl/>
          <w:lang w:bidi="ar-BH"/>
        </w:rPr>
        <w:t xml:space="preserve"> المتشرعي على اشتراطها في الفقيه </w:t>
      </w:r>
      <w:r w:rsidRPr="00913CD4">
        <w:rPr>
          <w:rFonts w:ascii="mylotus" w:hAnsi="mylotus"/>
          <w:sz w:val="32"/>
          <w:rtl/>
        </w:rPr>
        <w:t xml:space="preserve">فهو، </w:t>
      </w:r>
      <w:r w:rsidRPr="00913CD4">
        <w:rPr>
          <w:rFonts w:ascii="mylotus" w:hAnsi="mylotus"/>
          <w:sz w:val="32"/>
          <w:rtl/>
          <w:lang w:bidi="ar-BH"/>
        </w:rPr>
        <w:t>و</w:t>
      </w:r>
      <w:r w:rsidRPr="00913CD4">
        <w:rPr>
          <w:rFonts w:ascii="mylotus" w:hAnsi="mylotus"/>
          <w:sz w:val="32"/>
          <w:rtl/>
        </w:rPr>
        <w:t>إ</w:t>
      </w:r>
      <w:r w:rsidRPr="00913CD4">
        <w:rPr>
          <w:rFonts w:ascii="mylotus" w:hAnsi="mylotus"/>
          <w:sz w:val="32"/>
          <w:rtl/>
          <w:lang w:bidi="ar-BH"/>
        </w:rPr>
        <w:t>لا فلا</w:t>
      </w:r>
      <w:r w:rsidRPr="00913CD4">
        <w:rPr>
          <w:rFonts w:ascii="mylotus" w:hAnsi="mylotus"/>
          <w:sz w:val="32"/>
          <w:rtl/>
        </w:rPr>
        <w:t xml:space="preserve"> </w:t>
      </w:r>
      <w:r w:rsidRPr="00913CD4">
        <w:rPr>
          <w:rFonts w:ascii="mylotus" w:hAnsi="mylotus"/>
          <w:sz w:val="32"/>
          <w:rtl/>
          <w:lang w:bidi="ar-BH"/>
        </w:rPr>
        <w:t>طريق لاستكشاف مذاق الشارع في المقام.</w:t>
      </w:r>
    </w:p>
    <w:p w14:paraId="77C23126" w14:textId="302464D9" w:rsidR="00B04015" w:rsidRPr="00913CD4" w:rsidRDefault="00B04015" w:rsidP="00B04015">
      <w:pPr>
        <w:pStyle w:val="a0"/>
        <w:bidi/>
        <w:rPr>
          <w:rFonts w:ascii="mylotus" w:hAnsi="mylotus"/>
          <w:sz w:val="32"/>
          <w:rtl/>
        </w:rPr>
      </w:pPr>
      <w:r w:rsidRPr="00913CD4">
        <w:rPr>
          <w:rFonts w:ascii="mylotus" w:hAnsi="mylotus"/>
          <w:b/>
          <w:bCs/>
          <w:sz w:val="32"/>
          <w:rtl/>
        </w:rPr>
        <w:t>و</w:t>
      </w:r>
      <w:r w:rsidRPr="00913CD4">
        <w:rPr>
          <w:rFonts w:ascii="mylotus" w:hAnsi="mylotus"/>
          <w:b/>
          <w:bCs/>
          <w:sz w:val="32"/>
          <w:rtl/>
          <w:lang w:bidi="ar-BH"/>
        </w:rPr>
        <w:t>المثال الثّالث:</w:t>
      </w:r>
      <w:r w:rsidRPr="00913CD4">
        <w:rPr>
          <w:rFonts w:ascii="mylotus" w:hAnsi="mylotus"/>
          <w:sz w:val="32"/>
          <w:rtl/>
          <w:lang w:bidi="ar-BH"/>
        </w:rPr>
        <w:t xml:space="preserve"> ما</w:t>
      </w:r>
      <w:r w:rsidRPr="00913CD4">
        <w:rPr>
          <w:rFonts w:ascii="mylotus" w:hAnsi="mylotus"/>
          <w:sz w:val="32"/>
          <w:rtl/>
        </w:rPr>
        <w:t xml:space="preserve"> </w:t>
      </w:r>
      <w:r w:rsidRPr="00913CD4">
        <w:rPr>
          <w:rFonts w:ascii="mylotus" w:hAnsi="mylotus"/>
          <w:sz w:val="32"/>
          <w:rtl/>
          <w:lang w:bidi="ar-BH"/>
        </w:rPr>
        <w:t>ذكره السيّد الحكيم في المستمسك</w:t>
      </w:r>
      <w:r w:rsidRPr="00913CD4">
        <w:rPr>
          <w:rFonts w:ascii="mylotus" w:hAnsi="mylotus"/>
          <w:sz w:val="32"/>
          <w:vertAlign w:val="superscript"/>
          <w:rtl/>
          <w:lang w:bidi="ar-BH"/>
        </w:rPr>
        <w:t>(</w:t>
      </w:r>
      <w:r w:rsidRPr="00913CD4">
        <w:rPr>
          <w:rStyle w:val="ac"/>
          <w:rFonts w:ascii="mylotus" w:hAnsi="mylotus"/>
          <w:sz w:val="32"/>
          <w:rtl/>
        </w:rPr>
        <w:footnoteReference w:id="6"/>
      </w:r>
      <w:r w:rsidRPr="00913CD4">
        <w:rPr>
          <w:rFonts w:ascii="mylotus" w:hAnsi="mylotus"/>
          <w:sz w:val="32"/>
          <w:vertAlign w:val="superscript"/>
          <w:rtl/>
          <w:lang w:bidi="ar-BH"/>
        </w:rPr>
        <w:t>)</w:t>
      </w:r>
      <w:r w:rsidRPr="00913CD4">
        <w:rPr>
          <w:rFonts w:ascii="mylotus" w:hAnsi="mylotus"/>
          <w:sz w:val="32"/>
          <w:rtl/>
          <w:lang w:bidi="ar-BH"/>
        </w:rPr>
        <w:t>، من وجوب نقل الزّكاة من بلد المكلّف إلى غيره</w:t>
      </w:r>
      <w:r w:rsidRPr="00913CD4">
        <w:rPr>
          <w:rFonts w:ascii="mylotus" w:hAnsi="mylotus"/>
          <w:sz w:val="32"/>
          <w:rtl/>
        </w:rPr>
        <w:t xml:space="preserve"> </w:t>
      </w:r>
      <w:r w:rsidRPr="00913CD4">
        <w:rPr>
          <w:rFonts w:ascii="mylotus" w:hAnsi="mylotus"/>
          <w:sz w:val="32"/>
          <w:rtl/>
          <w:lang w:bidi="ar-BH"/>
        </w:rPr>
        <w:t>مع عدم المستحقّ في بلد المكلّف، استنادا لعدة وجوه</w:t>
      </w:r>
      <w:r w:rsidRPr="00913CD4">
        <w:rPr>
          <w:rFonts w:ascii="mylotus" w:hAnsi="mylotus"/>
          <w:sz w:val="32"/>
          <w:rtl/>
        </w:rPr>
        <w:t>،</w:t>
      </w:r>
      <w:r w:rsidRPr="00913CD4">
        <w:rPr>
          <w:rFonts w:ascii="mylotus" w:hAnsi="mylotus"/>
          <w:sz w:val="32"/>
          <w:rtl/>
          <w:lang w:bidi="ar-BH"/>
        </w:rPr>
        <w:t xml:space="preserve"> منها: أنه يلزم من عدم وجوب</w:t>
      </w:r>
      <w:r w:rsidRPr="00913CD4">
        <w:rPr>
          <w:rFonts w:ascii="mylotus" w:hAnsi="mylotus"/>
          <w:sz w:val="32"/>
          <w:rtl/>
        </w:rPr>
        <w:t xml:space="preserve"> </w:t>
      </w:r>
      <w:r w:rsidRPr="00913CD4">
        <w:rPr>
          <w:rFonts w:ascii="mylotus" w:hAnsi="mylotus"/>
          <w:sz w:val="32"/>
          <w:rtl/>
          <w:lang w:bidi="ar-BH"/>
        </w:rPr>
        <w:t>النّقل تضييع الحقّ على مستحقّه المعلوم من مذاق الشّارع تحريمه.</w:t>
      </w:r>
      <w:r w:rsidRPr="00913CD4">
        <w:rPr>
          <w:rFonts w:ascii="mylotus" w:hAnsi="mylotus"/>
          <w:sz w:val="32"/>
          <w:rtl/>
        </w:rPr>
        <w:t xml:space="preserve"> </w:t>
      </w:r>
      <w:r w:rsidRPr="00913CD4">
        <w:rPr>
          <w:rFonts w:ascii="mylotus" w:hAnsi="mylotus"/>
          <w:b/>
          <w:bCs/>
          <w:sz w:val="32"/>
          <w:rtl/>
          <w:lang w:bidi="ar-BH"/>
        </w:rPr>
        <w:t>وفيه:</w:t>
      </w:r>
      <w:r w:rsidRPr="00913CD4">
        <w:rPr>
          <w:rFonts w:ascii="mylotus" w:hAnsi="mylotus"/>
          <w:sz w:val="32"/>
          <w:rtl/>
          <w:lang w:bidi="ar-BH"/>
        </w:rPr>
        <w:t xml:space="preserve"> أنّ المستحقّ خارج بلد المكلّف إما هو مصرف لزكاة المكلّف الذي هو داخل البلد أو ليس مصرفًا</w:t>
      </w:r>
      <w:r w:rsidRPr="00913CD4">
        <w:rPr>
          <w:rFonts w:ascii="mylotus" w:hAnsi="mylotus"/>
          <w:sz w:val="32"/>
          <w:rtl/>
        </w:rPr>
        <w:t>،</w:t>
      </w:r>
      <w:r w:rsidRPr="00913CD4">
        <w:rPr>
          <w:rFonts w:ascii="mylotus" w:hAnsi="mylotus"/>
          <w:sz w:val="32"/>
          <w:rtl/>
          <w:lang w:bidi="ar-BH"/>
        </w:rPr>
        <w:t xml:space="preserve"> فإن كان مصرفًا لها شمله الإطلاق ولو على نحو الطولية، بلا حاجة لتوسيط مذاق الشّارع</w:t>
      </w:r>
      <w:r w:rsidRPr="00913CD4">
        <w:rPr>
          <w:rFonts w:ascii="mylotus" w:hAnsi="mylotus"/>
          <w:sz w:val="32"/>
          <w:rtl/>
        </w:rPr>
        <w:t>؛</w:t>
      </w:r>
      <w:r w:rsidRPr="00913CD4">
        <w:rPr>
          <w:rFonts w:ascii="mylotus" w:hAnsi="mylotus"/>
          <w:sz w:val="32"/>
          <w:rtl/>
          <w:lang w:bidi="ar-BH"/>
        </w:rPr>
        <w:t xml:space="preserve"> وإن لم يكن مصرف</w:t>
      </w:r>
      <w:r w:rsidR="0006236F" w:rsidRPr="00913CD4">
        <w:rPr>
          <w:rFonts w:ascii="mylotus" w:hAnsi="mylotus"/>
          <w:sz w:val="32"/>
          <w:rtl/>
          <w:lang w:bidi="ar-BH"/>
        </w:rPr>
        <w:t>ً</w:t>
      </w:r>
      <w:r w:rsidRPr="00913CD4">
        <w:rPr>
          <w:rFonts w:ascii="mylotus" w:hAnsi="mylotus"/>
          <w:sz w:val="32"/>
          <w:rtl/>
          <w:lang w:bidi="ar-BH"/>
        </w:rPr>
        <w:t>ا له، فاستلزام عدم وجوب نقله تضييع الحق على مستحقه مصادرة، حيث لم يثبت أساسا أن من مذاق الشارع تحريمه.</w:t>
      </w:r>
    </w:p>
    <w:p w14:paraId="6FE470B1" w14:textId="027D23B1" w:rsidR="00B04015" w:rsidRPr="00913CD4" w:rsidRDefault="00B04015" w:rsidP="008D6B2A">
      <w:pPr>
        <w:pStyle w:val="a0"/>
        <w:bidi/>
        <w:rPr>
          <w:rFonts w:ascii="mylotus" w:hAnsi="mylotus"/>
          <w:sz w:val="32"/>
          <w:rtl/>
        </w:rPr>
      </w:pPr>
      <w:r w:rsidRPr="00913CD4">
        <w:rPr>
          <w:rFonts w:ascii="mylotus" w:hAnsi="mylotus"/>
          <w:b/>
          <w:bCs/>
          <w:sz w:val="32"/>
          <w:rtl/>
        </w:rPr>
        <w:t>و</w:t>
      </w:r>
      <w:r w:rsidRPr="00913CD4">
        <w:rPr>
          <w:rFonts w:ascii="mylotus" w:hAnsi="mylotus"/>
          <w:b/>
          <w:bCs/>
          <w:sz w:val="32"/>
          <w:rtl/>
          <w:lang w:bidi="ar-BH"/>
        </w:rPr>
        <w:t>المثال الرّابع:</w:t>
      </w:r>
      <w:r w:rsidRPr="00913CD4">
        <w:rPr>
          <w:rFonts w:ascii="mylotus" w:hAnsi="mylotus"/>
          <w:sz w:val="32"/>
          <w:rtl/>
          <w:lang w:bidi="ar-BH"/>
        </w:rPr>
        <w:t xml:space="preserve"> ما ذكر في باب التّقليد، من أنه إذا تساوى المجتهدان من كلّ الجهات -</w:t>
      </w:r>
      <w:r w:rsidRPr="00913CD4">
        <w:rPr>
          <w:rFonts w:ascii="mylotus" w:hAnsi="mylotus"/>
          <w:sz w:val="32"/>
          <w:rtl/>
        </w:rPr>
        <w:t>ك</w:t>
      </w:r>
      <w:proofErr w:type="spellStart"/>
      <w:r w:rsidRPr="00913CD4">
        <w:rPr>
          <w:rFonts w:ascii="mylotus" w:hAnsi="mylotus"/>
          <w:sz w:val="32"/>
          <w:rtl/>
          <w:lang w:bidi="ar-BH"/>
        </w:rPr>
        <w:t>الأورعية</w:t>
      </w:r>
      <w:proofErr w:type="spellEnd"/>
      <w:r w:rsidRPr="00913CD4">
        <w:rPr>
          <w:rFonts w:ascii="mylotus" w:hAnsi="mylotus"/>
          <w:sz w:val="32"/>
          <w:rtl/>
          <w:lang w:bidi="ar-BH"/>
        </w:rPr>
        <w:t xml:space="preserve">، </w:t>
      </w:r>
      <w:proofErr w:type="spellStart"/>
      <w:r w:rsidRPr="00913CD4">
        <w:rPr>
          <w:rFonts w:ascii="mylotus" w:hAnsi="mylotus"/>
          <w:sz w:val="32"/>
          <w:rtl/>
          <w:lang w:bidi="ar-BH"/>
        </w:rPr>
        <w:t>والأعلمية</w:t>
      </w:r>
      <w:proofErr w:type="spellEnd"/>
      <w:r w:rsidRPr="00913CD4">
        <w:rPr>
          <w:rFonts w:ascii="mylotus" w:hAnsi="mylotus"/>
          <w:sz w:val="32"/>
          <w:rtl/>
          <w:lang w:bidi="ar-BH"/>
        </w:rPr>
        <w:t xml:space="preserve">- واختلفا في الفتوى، </w:t>
      </w:r>
      <w:r w:rsidRPr="00913CD4">
        <w:rPr>
          <w:rFonts w:ascii="mylotus" w:hAnsi="mylotus"/>
          <w:sz w:val="32"/>
          <w:rtl/>
        </w:rPr>
        <w:t>ف</w:t>
      </w:r>
      <w:r w:rsidRPr="00913CD4">
        <w:rPr>
          <w:rFonts w:ascii="mylotus" w:hAnsi="mylotus"/>
          <w:sz w:val="32"/>
          <w:rtl/>
          <w:lang w:bidi="ar-BH"/>
        </w:rPr>
        <w:t xml:space="preserve">لو فرض أن المجتهد الأول أفتى بوجوب الجمعة تعيينا </w:t>
      </w:r>
      <w:r w:rsidRPr="00913CD4">
        <w:rPr>
          <w:rFonts w:ascii="mylotus" w:hAnsi="mylotus"/>
          <w:sz w:val="32"/>
          <w:rtl/>
        </w:rPr>
        <w:t xml:space="preserve">في </w:t>
      </w:r>
      <w:r w:rsidRPr="00913CD4">
        <w:rPr>
          <w:rFonts w:ascii="mylotus" w:hAnsi="mylotus"/>
          <w:sz w:val="32"/>
          <w:rtl/>
          <w:lang w:bidi="ar-BH"/>
        </w:rPr>
        <w:t xml:space="preserve">ظهر يوم الجمعة، والثاني أفتى بوجوب الظهر تعيينا </w:t>
      </w:r>
      <w:r w:rsidRPr="00913CD4">
        <w:rPr>
          <w:rFonts w:ascii="mylotus" w:hAnsi="mylotus"/>
          <w:sz w:val="32"/>
          <w:rtl/>
        </w:rPr>
        <w:t xml:space="preserve">في </w:t>
      </w:r>
      <w:r w:rsidRPr="00913CD4">
        <w:rPr>
          <w:rFonts w:ascii="mylotus" w:hAnsi="mylotus"/>
          <w:sz w:val="32"/>
          <w:rtl/>
          <w:lang w:bidi="ar-BH"/>
        </w:rPr>
        <w:t>ظهر يوم الجمعة، فهل يجب ال</w:t>
      </w:r>
      <w:r w:rsidRPr="00913CD4">
        <w:rPr>
          <w:rFonts w:ascii="mylotus" w:hAnsi="mylotus"/>
          <w:sz w:val="32"/>
          <w:rtl/>
        </w:rPr>
        <w:t>ا</w:t>
      </w:r>
      <w:proofErr w:type="spellStart"/>
      <w:r w:rsidRPr="00913CD4">
        <w:rPr>
          <w:rFonts w:ascii="mylotus" w:hAnsi="mylotus"/>
          <w:sz w:val="32"/>
          <w:rtl/>
          <w:lang w:bidi="ar-BH"/>
        </w:rPr>
        <w:t>حتياط</w:t>
      </w:r>
      <w:proofErr w:type="spellEnd"/>
      <w:r w:rsidRPr="00913CD4">
        <w:rPr>
          <w:rFonts w:ascii="mylotus" w:hAnsi="mylotus"/>
          <w:sz w:val="32"/>
          <w:rtl/>
          <w:lang w:bidi="ar-BH"/>
        </w:rPr>
        <w:t xml:space="preserve"> بالجمع أم </w:t>
      </w:r>
      <w:r w:rsidRPr="00913CD4">
        <w:rPr>
          <w:rFonts w:ascii="mylotus" w:hAnsi="mylotus"/>
          <w:sz w:val="32"/>
          <w:rtl/>
        </w:rPr>
        <w:t xml:space="preserve">أن </w:t>
      </w:r>
      <w:r w:rsidRPr="00913CD4">
        <w:rPr>
          <w:rFonts w:ascii="mylotus" w:hAnsi="mylotus"/>
          <w:sz w:val="32"/>
          <w:rtl/>
          <w:lang w:bidi="ar-BH"/>
        </w:rPr>
        <w:t>الوظيفة هي التخيير؟ وقد أفاد السيّد الحكيم السبط (قد</w:t>
      </w:r>
      <w:r w:rsidRPr="00913CD4">
        <w:rPr>
          <w:rFonts w:ascii="mylotus" w:hAnsi="mylotus"/>
          <w:sz w:val="32"/>
          <w:rtl/>
        </w:rPr>
        <w:t>س سره</w:t>
      </w:r>
      <w:r w:rsidRPr="00913CD4">
        <w:rPr>
          <w:rFonts w:ascii="mylotus" w:hAnsi="mylotus"/>
          <w:sz w:val="32"/>
          <w:rtl/>
          <w:lang w:bidi="ar-BH"/>
        </w:rPr>
        <w:t>)</w:t>
      </w:r>
      <w:r w:rsidRPr="00913CD4">
        <w:rPr>
          <w:rFonts w:ascii="mylotus" w:hAnsi="mylotus"/>
          <w:sz w:val="32"/>
          <w:vertAlign w:val="superscript"/>
          <w:rtl/>
          <w:lang w:bidi="ar-BH"/>
        </w:rPr>
        <w:t>(</w:t>
      </w:r>
      <w:r w:rsidRPr="00913CD4">
        <w:rPr>
          <w:rStyle w:val="ac"/>
          <w:rFonts w:ascii="mylotus" w:hAnsi="mylotus"/>
          <w:sz w:val="32"/>
          <w:rtl/>
        </w:rPr>
        <w:footnoteReference w:id="7"/>
      </w:r>
      <w:r w:rsidRPr="00913CD4">
        <w:rPr>
          <w:rFonts w:ascii="mylotus" w:hAnsi="mylotus"/>
          <w:sz w:val="32"/>
          <w:vertAlign w:val="superscript"/>
          <w:rtl/>
          <w:lang w:bidi="ar-BH"/>
        </w:rPr>
        <w:t>)</w:t>
      </w:r>
      <w:r w:rsidRPr="00913CD4">
        <w:rPr>
          <w:rFonts w:ascii="mylotus" w:hAnsi="mylotus"/>
          <w:sz w:val="32"/>
          <w:rtl/>
          <w:lang w:bidi="ar-BH"/>
        </w:rPr>
        <w:t xml:space="preserve"> وشيخنا الأستاذ التّبريزيّ (قد</w:t>
      </w:r>
      <w:r w:rsidRPr="00913CD4">
        <w:rPr>
          <w:rFonts w:ascii="mylotus" w:hAnsi="mylotus"/>
          <w:sz w:val="32"/>
          <w:rtl/>
        </w:rPr>
        <w:t>س سره</w:t>
      </w:r>
      <w:r w:rsidRPr="00913CD4">
        <w:rPr>
          <w:rFonts w:ascii="mylotus" w:hAnsi="mylotus"/>
          <w:sz w:val="32"/>
          <w:rtl/>
          <w:lang w:bidi="ar-BH"/>
        </w:rPr>
        <w:t>)</w:t>
      </w:r>
      <w:r w:rsidRPr="00913CD4">
        <w:rPr>
          <w:rFonts w:ascii="mylotus" w:hAnsi="mylotus"/>
          <w:sz w:val="32"/>
          <w:vertAlign w:val="superscript"/>
          <w:rtl/>
          <w:lang w:bidi="ar-BH"/>
        </w:rPr>
        <w:t>(</w:t>
      </w:r>
      <w:r w:rsidRPr="00913CD4">
        <w:rPr>
          <w:rStyle w:val="ac"/>
          <w:rFonts w:ascii="mylotus" w:hAnsi="mylotus"/>
          <w:sz w:val="32"/>
          <w:rtl/>
        </w:rPr>
        <w:footnoteReference w:id="8"/>
      </w:r>
      <w:r w:rsidRPr="00913CD4">
        <w:rPr>
          <w:rFonts w:ascii="mylotus" w:hAnsi="mylotus"/>
          <w:sz w:val="32"/>
          <w:vertAlign w:val="superscript"/>
          <w:rtl/>
          <w:lang w:bidi="ar-BH"/>
        </w:rPr>
        <w:t>)</w:t>
      </w:r>
      <w:r w:rsidRPr="00913CD4">
        <w:rPr>
          <w:rFonts w:ascii="mylotus" w:hAnsi="mylotus"/>
          <w:sz w:val="32"/>
          <w:rtl/>
          <w:lang w:bidi="ar-BH"/>
        </w:rPr>
        <w:t xml:space="preserve"> في هذه المسألة: "إنّ وجوب الاحتياط</w:t>
      </w:r>
      <w:r w:rsidRPr="00913CD4">
        <w:rPr>
          <w:rFonts w:ascii="mylotus" w:hAnsi="mylotus"/>
          <w:sz w:val="32"/>
          <w:rtl/>
        </w:rPr>
        <w:t xml:space="preserve"> </w:t>
      </w:r>
      <w:r w:rsidRPr="00913CD4">
        <w:rPr>
          <w:rFonts w:ascii="mylotus" w:hAnsi="mylotus"/>
          <w:sz w:val="32"/>
          <w:rtl/>
          <w:lang w:bidi="ar-BH"/>
        </w:rPr>
        <w:t>-بالجمع- بعيد عن مذاق الشّارع المقدّس، في التّسهيل على المكلّفين والرّفق بهم بنحو يُقطع معه باكتفائه بالتّخيير".</w:t>
      </w:r>
    </w:p>
    <w:p w14:paraId="29C43A1A" w14:textId="77777777" w:rsidR="00B04015" w:rsidRPr="00913CD4" w:rsidRDefault="00B04015" w:rsidP="00B04015">
      <w:pPr>
        <w:pStyle w:val="a0"/>
        <w:bidi/>
        <w:rPr>
          <w:rFonts w:ascii="mylotus" w:hAnsi="mylotus"/>
          <w:b/>
          <w:bCs/>
          <w:sz w:val="32"/>
          <w:rtl/>
        </w:rPr>
      </w:pPr>
      <w:r w:rsidRPr="00913CD4">
        <w:rPr>
          <w:rFonts w:ascii="mylotus" w:hAnsi="mylotus"/>
          <w:b/>
          <w:bCs/>
          <w:sz w:val="32"/>
          <w:rtl/>
          <w:lang w:bidi="ar-BH"/>
        </w:rPr>
        <w:lastRenderedPageBreak/>
        <w:t xml:space="preserve">وهنا تعليقتان: </w:t>
      </w:r>
    </w:p>
    <w:p w14:paraId="67F5BE66" w14:textId="0913CF04" w:rsidR="00B04015" w:rsidRPr="00913CD4" w:rsidRDefault="00B04015" w:rsidP="00B04015">
      <w:pPr>
        <w:pStyle w:val="a0"/>
        <w:bidi/>
        <w:rPr>
          <w:rFonts w:ascii="mylotus" w:hAnsi="mylotus"/>
          <w:sz w:val="32"/>
          <w:rtl/>
        </w:rPr>
      </w:pPr>
      <w:r w:rsidRPr="00913CD4">
        <w:rPr>
          <w:rFonts w:ascii="mylotus" w:hAnsi="mylotus"/>
          <w:b/>
          <w:bCs/>
          <w:sz w:val="32"/>
          <w:rtl/>
          <w:lang w:bidi="ar-BH"/>
        </w:rPr>
        <w:t>(الأولى)</w:t>
      </w:r>
      <w:r w:rsidR="00512C92" w:rsidRPr="00913CD4">
        <w:rPr>
          <w:rFonts w:ascii="mylotus" w:hAnsi="mylotus"/>
          <w:b/>
          <w:bCs/>
          <w:sz w:val="32"/>
          <w:rtl/>
          <w:lang w:bidi="ar-BH"/>
        </w:rPr>
        <w:t>:</w:t>
      </w:r>
      <w:r w:rsidRPr="00913CD4">
        <w:rPr>
          <w:rFonts w:ascii="mylotus" w:hAnsi="mylotus"/>
          <w:sz w:val="32"/>
          <w:rtl/>
          <w:lang w:bidi="ar-BH"/>
        </w:rPr>
        <w:t xml:space="preserve"> أنه إذا بلغ الأمر حدّ القطع أو </w:t>
      </w:r>
      <w:r w:rsidR="00073017" w:rsidRPr="00913CD4">
        <w:rPr>
          <w:rFonts w:ascii="mylotus" w:hAnsi="mylotus"/>
          <w:sz w:val="32"/>
          <w:rtl/>
          <w:lang w:bidi="ar-BH"/>
        </w:rPr>
        <w:t>الاطمئنان</w:t>
      </w:r>
      <w:r w:rsidRPr="00913CD4">
        <w:rPr>
          <w:rFonts w:ascii="mylotus" w:hAnsi="mylotus"/>
          <w:sz w:val="32"/>
          <w:rtl/>
          <w:lang w:bidi="ar-BH"/>
        </w:rPr>
        <w:t xml:space="preserve"> الناشئين عن مناشئ عقلائية فالحجّية لهما، بغض النظر عن </w:t>
      </w:r>
      <w:proofErr w:type="spellStart"/>
      <w:r w:rsidRPr="00913CD4">
        <w:rPr>
          <w:rFonts w:ascii="mylotus" w:hAnsi="mylotus"/>
          <w:sz w:val="32"/>
          <w:rtl/>
          <w:lang w:bidi="ar-BH"/>
        </w:rPr>
        <w:t>متعلقهما</w:t>
      </w:r>
      <w:proofErr w:type="spellEnd"/>
      <w:r w:rsidRPr="00913CD4">
        <w:rPr>
          <w:rFonts w:ascii="mylotus" w:hAnsi="mylotus"/>
          <w:sz w:val="32"/>
          <w:rtl/>
          <w:lang w:bidi="ar-BH"/>
        </w:rPr>
        <w:t xml:space="preserve"> </w:t>
      </w:r>
      <w:r w:rsidRPr="00913CD4">
        <w:rPr>
          <w:rFonts w:ascii="mylotus" w:hAnsi="mylotus"/>
          <w:sz w:val="32"/>
          <w:rtl/>
        </w:rPr>
        <w:t xml:space="preserve">والذي </w:t>
      </w:r>
      <w:r w:rsidRPr="00913CD4">
        <w:rPr>
          <w:rFonts w:ascii="mylotus" w:hAnsi="mylotus"/>
          <w:sz w:val="32"/>
          <w:rtl/>
          <w:lang w:bidi="ar-BH"/>
        </w:rPr>
        <w:t xml:space="preserve">هو مذاق الشارع أم غيره من الأحكام. </w:t>
      </w:r>
    </w:p>
    <w:p w14:paraId="59964FC8" w14:textId="77777777" w:rsidR="00B04015" w:rsidRPr="00913CD4" w:rsidRDefault="00B04015" w:rsidP="00B04015">
      <w:pPr>
        <w:pStyle w:val="a0"/>
        <w:bidi/>
        <w:rPr>
          <w:rFonts w:ascii="mylotus" w:hAnsi="mylotus"/>
          <w:sz w:val="32"/>
          <w:rtl/>
        </w:rPr>
      </w:pPr>
      <w:r w:rsidRPr="00913CD4">
        <w:rPr>
          <w:rFonts w:ascii="mylotus" w:hAnsi="mylotus"/>
          <w:b/>
          <w:bCs/>
          <w:sz w:val="32"/>
          <w:rtl/>
          <w:lang w:bidi="ar-BH"/>
        </w:rPr>
        <w:t>(الثّانية):</w:t>
      </w:r>
      <w:r w:rsidRPr="00913CD4">
        <w:rPr>
          <w:rFonts w:ascii="mylotus" w:hAnsi="mylotus"/>
          <w:sz w:val="32"/>
          <w:rtl/>
          <w:lang w:bidi="ar-BH"/>
        </w:rPr>
        <w:t xml:space="preserve"> أن مورد اختلاف الفتوى على أنحاء ثلاثة:</w:t>
      </w:r>
    </w:p>
    <w:p w14:paraId="767F87BD" w14:textId="77777777" w:rsidR="00B04015" w:rsidRPr="00913CD4" w:rsidRDefault="00B04015" w:rsidP="00B04015">
      <w:pPr>
        <w:pStyle w:val="a0"/>
        <w:bidi/>
        <w:rPr>
          <w:rFonts w:ascii="mylotus" w:hAnsi="mylotus"/>
          <w:sz w:val="32"/>
          <w:rtl/>
        </w:rPr>
      </w:pPr>
      <w:r w:rsidRPr="00913CD4">
        <w:rPr>
          <w:rFonts w:ascii="mylotus" w:hAnsi="mylotus"/>
          <w:b/>
          <w:bCs/>
          <w:sz w:val="32"/>
          <w:rtl/>
          <w:lang w:bidi="ar-BH"/>
        </w:rPr>
        <w:t>1- وجود علم إجماليّ بالتّكليف</w:t>
      </w:r>
      <w:r w:rsidRPr="00913CD4">
        <w:rPr>
          <w:rFonts w:ascii="mylotus" w:hAnsi="mylotus"/>
          <w:b/>
          <w:bCs/>
          <w:sz w:val="32"/>
          <w:rtl/>
        </w:rPr>
        <w:t>،</w:t>
      </w:r>
      <w:r w:rsidRPr="00913CD4">
        <w:rPr>
          <w:rFonts w:ascii="mylotus" w:hAnsi="mylotus"/>
          <w:sz w:val="32"/>
          <w:rtl/>
        </w:rPr>
        <w:t xml:space="preserve"> </w:t>
      </w:r>
      <w:r w:rsidRPr="00913CD4">
        <w:rPr>
          <w:rFonts w:ascii="mylotus" w:hAnsi="mylotus"/>
          <w:sz w:val="32"/>
          <w:rtl/>
          <w:lang w:bidi="ar-BH"/>
        </w:rPr>
        <w:t>كدوران متعلق الأمر بين القصر والتّمام لمن يسافر للدّراسة</w:t>
      </w:r>
      <w:r w:rsidRPr="00913CD4">
        <w:rPr>
          <w:rFonts w:ascii="mylotus" w:hAnsi="mylotus"/>
          <w:sz w:val="32"/>
          <w:rtl/>
        </w:rPr>
        <w:t>،</w:t>
      </w:r>
      <w:r w:rsidRPr="00913CD4">
        <w:rPr>
          <w:rFonts w:ascii="mylotus" w:hAnsi="mylotus"/>
          <w:sz w:val="32"/>
          <w:rtl/>
          <w:lang w:bidi="ar-BH"/>
        </w:rPr>
        <w:t xml:space="preserve"> ومقتضى منجّزيّة العلم الإجماليّ الجمع بين الوظيفتين، بغض النظر عن اختلاف الفقيهين.</w:t>
      </w:r>
    </w:p>
    <w:p w14:paraId="158766EF" w14:textId="77777777" w:rsidR="00B04015" w:rsidRPr="00913CD4" w:rsidRDefault="00B04015" w:rsidP="00B04015">
      <w:pPr>
        <w:pStyle w:val="a0"/>
        <w:bidi/>
        <w:rPr>
          <w:rFonts w:ascii="mylotus" w:hAnsi="mylotus"/>
          <w:sz w:val="32"/>
          <w:rtl/>
        </w:rPr>
      </w:pPr>
      <w:r w:rsidRPr="00913CD4">
        <w:rPr>
          <w:rFonts w:ascii="mylotus" w:hAnsi="mylotus"/>
          <w:b/>
          <w:bCs/>
          <w:sz w:val="32"/>
          <w:rtl/>
          <w:lang w:bidi="ar-BH"/>
        </w:rPr>
        <w:t>2- ما</w:t>
      </w:r>
      <w:r w:rsidRPr="00913CD4">
        <w:rPr>
          <w:rFonts w:ascii="mylotus" w:hAnsi="mylotus"/>
          <w:b/>
          <w:bCs/>
          <w:sz w:val="32"/>
          <w:rtl/>
        </w:rPr>
        <w:t xml:space="preserve"> </w:t>
      </w:r>
      <w:r w:rsidRPr="00913CD4">
        <w:rPr>
          <w:rFonts w:ascii="mylotus" w:hAnsi="mylotus"/>
          <w:b/>
          <w:bCs/>
          <w:sz w:val="32"/>
          <w:rtl/>
          <w:lang w:bidi="ar-BH"/>
        </w:rPr>
        <w:t>ليس من موارد العلم الإجمالي بالتكليف مع إمكان درجة من الاحتياط النسبي</w:t>
      </w:r>
      <w:r w:rsidRPr="00913CD4">
        <w:rPr>
          <w:rFonts w:ascii="mylotus" w:hAnsi="mylotus"/>
          <w:sz w:val="32"/>
          <w:rtl/>
        </w:rPr>
        <w:t xml:space="preserve">، </w:t>
      </w:r>
      <w:r w:rsidRPr="00913CD4">
        <w:rPr>
          <w:rFonts w:ascii="mylotus" w:hAnsi="mylotus"/>
          <w:sz w:val="32"/>
          <w:rtl/>
          <w:lang w:bidi="ar-BH"/>
        </w:rPr>
        <w:t>كأن يفتي أحدهما بالجمعة تعيينًا والآخر بالتّخيير، فهل الوظيفة حينئذ -كما بنى عليه السيّد الخوئيّ (قد</w:t>
      </w:r>
      <w:r w:rsidRPr="00913CD4">
        <w:rPr>
          <w:rFonts w:ascii="mylotus" w:hAnsi="mylotus"/>
          <w:sz w:val="32"/>
          <w:rtl/>
        </w:rPr>
        <w:t>س سره</w:t>
      </w:r>
      <w:r w:rsidRPr="00913CD4">
        <w:rPr>
          <w:rFonts w:ascii="mylotus" w:hAnsi="mylotus"/>
          <w:sz w:val="32"/>
          <w:rtl/>
          <w:lang w:bidi="ar-BH"/>
        </w:rPr>
        <w:t xml:space="preserve">)- هي العمل بأحوط القولين </w:t>
      </w:r>
      <w:r w:rsidRPr="00913CD4">
        <w:rPr>
          <w:rFonts w:ascii="mylotus" w:hAnsi="mylotus"/>
          <w:sz w:val="32"/>
          <w:rtl/>
        </w:rPr>
        <w:t>(</w:t>
      </w:r>
      <w:r w:rsidRPr="00913CD4">
        <w:rPr>
          <w:rFonts w:ascii="mylotus" w:hAnsi="mylotus"/>
          <w:sz w:val="32"/>
          <w:rtl/>
          <w:lang w:bidi="ar-BH"/>
        </w:rPr>
        <w:t>أي يصلي الجمعة</w:t>
      </w:r>
      <w:r w:rsidRPr="00913CD4">
        <w:rPr>
          <w:rFonts w:ascii="mylotus" w:hAnsi="mylotus"/>
          <w:sz w:val="32"/>
          <w:rtl/>
        </w:rPr>
        <w:t>)</w:t>
      </w:r>
      <w:r w:rsidRPr="00913CD4">
        <w:rPr>
          <w:rFonts w:ascii="mylotus" w:hAnsi="mylotus"/>
          <w:sz w:val="32"/>
          <w:rtl/>
          <w:lang w:bidi="ar-BH"/>
        </w:rPr>
        <w:t>، أم التخيير</w:t>
      </w:r>
      <w:r w:rsidRPr="00913CD4">
        <w:rPr>
          <w:rFonts w:ascii="mylotus" w:hAnsi="mylotus"/>
          <w:sz w:val="32"/>
          <w:rtl/>
        </w:rPr>
        <w:t>؟</w:t>
      </w:r>
    </w:p>
    <w:p w14:paraId="06848950" w14:textId="321DD728" w:rsidR="00B04015" w:rsidRPr="00913CD4" w:rsidRDefault="00B04015" w:rsidP="00B04015">
      <w:pPr>
        <w:pStyle w:val="a0"/>
        <w:bidi/>
        <w:rPr>
          <w:rFonts w:ascii="mylotus" w:hAnsi="mylotus"/>
          <w:sz w:val="32"/>
          <w:rtl/>
        </w:rPr>
      </w:pPr>
      <w:r w:rsidRPr="00913CD4">
        <w:rPr>
          <w:rFonts w:ascii="mylotus" w:hAnsi="mylotus"/>
          <w:b/>
          <w:bCs/>
          <w:sz w:val="32"/>
          <w:rtl/>
          <w:lang w:bidi="ar-BH"/>
        </w:rPr>
        <w:t xml:space="preserve">3- الاختلاف على نحو التّباين مع امكان </w:t>
      </w:r>
      <w:r w:rsidR="009F2DCF" w:rsidRPr="00913CD4">
        <w:rPr>
          <w:rFonts w:ascii="mylotus" w:hAnsi="mylotus"/>
          <w:b/>
          <w:bCs/>
          <w:sz w:val="32"/>
          <w:rtl/>
          <w:lang w:bidi="ar-BH"/>
        </w:rPr>
        <w:t>الاحتياط</w:t>
      </w:r>
      <w:r w:rsidRPr="00913CD4">
        <w:rPr>
          <w:rFonts w:ascii="mylotus" w:hAnsi="mylotus"/>
          <w:b/>
          <w:bCs/>
          <w:sz w:val="32"/>
          <w:rtl/>
          <w:lang w:bidi="ar-BH"/>
        </w:rPr>
        <w:t xml:space="preserve"> التام دون </w:t>
      </w:r>
      <w:r w:rsidR="009F2DCF" w:rsidRPr="00913CD4">
        <w:rPr>
          <w:rFonts w:ascii="mylotus" w:hAnsi="mylotus"/>
          <w:b/>
          <w:bCs/>
          <w:sz w:val="32"/>
          <w:rtl/>
          <w:lang w:bidi="ar-BH"/>
        </w:rPr>
        <w:t xml:space="preserve">الاحتياط </w:t>
      </w:r>
      <w:r w:rsidRPr="00913CD4">
        <w:rPr>
          <w:rFonts w:ascii="mylotus" w:hAnsi="mylotus"/>
          <w:b/>
          <w:bCs/>
          <w:sz w:val="32"/>
          <w:rtl/>
          <w:lang w:bidi="ar-BH"/>
        </w:rPr>
        <w:t>النسبي</w:t>
      </w:r>
      <w:r w:rsidRPr="00913CD4">
        <w:rPr>
          <w:rFonts w:ascii="mylotus" w:hAnsi="mylotus"/>
          <w:sz w:val="32"/>
          <w:rtl/>
        </w:rPr>
        <w:t xml:space="preserve">، </w:t>
      </w:r>
      <w:r w:rsidRPr="00913CD4">
        <w:rPr>
          <w:rFonts w:ascii="mylotus" w:hAnsi="mylotus"/>
          <w:sz w:val="32"/>
          <w:rtl/>
          <w:lang w:bidi="ar-BH"/>
        </w:rPr>
        <w:t xml:space="preserve">كأن يقول أحدهما بالجمعة تعيينًا والآخر بالظّهر تعيينًا، وحيث اختلفت الأنحاء في إمكان درجة من </w:t>
      </w:r>
      <w:r w:rsidR="006E259B" w:rsidRPr="00913CD4">
        <w:rPr>
          <w:rFonts w:ascii="mylotus" w:hAnsi="mylotus"/>
          <w:sz w:val="32"/>
          <w:rtl/>
          <w:lang w:bidi="ar-BH"/>
        </w:rPr>
        <w:t>الاحتياط</w:t>
      </w:r>
      <w:r w:rsidR="006E259B" w:rsidRPr="00913CD4">
        <w:rPr>
          <w:rFonts w:ascii="mylotus" w:hAnsi="mylotus"/>
          <w:b/>
          <w:bCs/>
          <w:sz w:val="32"/>
          <w:rtl/>
          <w:lang w:bidi="ar-BH"/>
        </w:rPr>
        <w:t xml:space="preserve"> </w:t>
      </w:r>
      <w:r w:rsidRPr="00913CD4">
        <w:rPr>
          <w:rFonts w:ascii="mylotus" w:hAnsi="mylotus"/>
          <w:sz w:val="32"/>
          <w:rtl/>
          <w:lang w:bidi="ar-BH"/>
        </w:rPr>
        <w:t>النسبي، فلو علم من مذاق الشارع كما يقول العلمان (قد</w:t>
      </w:r>
      <w:r w:rsidRPr="00913CD4">
        <w:rPr>
          <w:rFonts w:ascii="mylotus" w:hAnsi="mylotus"/>
          <w:sz w:val="32"/>
          <w:rtl/>
        </w:rPr>
        <w:t>س سر</w:t>
      </w:r>
      <w:r w:rsidRPr="00913CD4">
        <w:rPr>
          <w:rFonts w:ascii="mylotus" w:hAnsi="mylotus"/>
          <w:sz w:val="32"/>
          <w:rtl/>
          <w:lang w:bidi="ar-BH"/>
        </w:rPr>
        <w:t>هما) أنه لا ي</w:t>
      </w:r>
      <w:r w:rsidRPr="00913CD4">
        <w:rPr>
          <w:rFonts w:ascii="mylotus" w:hAnsi="mylotus"/>
          <w:sz w:val="32"/>
          <w:rtl/>
        </w:rPr>
        <w:t>ُ</w:t>
      </w:r>
      <w:r w:rsidRPr="00913CD4">
        <w:rPr>
          <w:rFonts w:ascii="mylotus" w:hAnsi="mylotus"/>
          <w:sz w:val="32"/>
          <w:rtl/>
          <w:lang w:bidi="ar-BH"/>
        </w:rPr>
        <w:t xml:space="preserve">لزم بالاحتياط، فهل ذلك يعني المصير إلى التخيير؟ أم يصار إلى مرتبة من الاحتياط وهي العمل بأحوط القولين إذا أمكن كما في النحو الثاني؟ فإن الموافق للمرتكزات العقلائية هو الترتب والطولية بين </w:t>
      </w:r>
      <w:r w:rsidR="00A672B9" w:rsidRPr="00913CD4">
        <w:rPr>
          <w:rFonts w:ascii="mylotus" w:hAnsi="mylotus"/>
          <w:sz w:val="32"/>
          <w:rtl/>
          <w:lang w:bidi="ar-BH"/>
        </w:rPr>
        <w:t>الاحتياط</w:t>
      </w:r>
      <w:r w:rsidR="00A672B9" w:rsidRPr="00913CD4">
        <w:rPr>
          <w:rFonts w:ascii="mylotus" w:hAnsi="mylotus"/>
          <w:b/>
          <w:bCs/>
          <w:sz w:val="32"/>
          <w:rtl/>
          <w:lang w:bidi="ar-BH"/>
        </w:rPr>
        <w:t xml:space="preserve"> </w:t>
      </w:r>
      <w:r w:rsidRPr="00913CD4">
        <w:rPr>
          <w:rFonts w:ascii="mylotus" w:hAnsi="mylotus"/>
          <w:sz w:val="32"/>
          <w:rtl/>
          <w:lang w:bidi="ar-BH"/>
        </w:rPr>
        <w:t>النسبي إن أمكن وبين التخيير.</w:t>
      </w:r>
    </w:p>
    <w:p w14:paraId="2594752A" w14:textId="77777777" w:rsidR="00B04015" w:rsidRPr="00913CD4" w:rsidRDefault="00B04015" w:rsidP="00B04015">
      <w:pPr>
        <w:pStyle w:val="a0"/>
        <w:bidi/>
        <w:rPr>
          <w:rFonts w:ascii="mylotus" w:hAnsi="mylotus"/>
          <w:sz w:val="32"/>
          <w:rtl/>
        </w:rPr>
      </w:pPr>
      <w:r w:rsidRPr="00913CD4">
        <w:rPr>
          <w:rFonts w:ascii="mylotus" w:hAnsi="mylotus"/>
          <w:sz w:val="32"/>
          <w:rtl/>
          <w:lang w:bidi="ar-BH"/>
        </w:rPr>
        <w:t>هذا تمام الكلام في الكبرى</w:t>
      </w:r>
      <w:r w:rsidRPr="00913CD4">
        <w:rPr>
          <w:rFonts w:ascii="mylotus" w:hAnsi="mylotus"/>
          <w:sz w:val="32"/>
          <w:rtl/>
        </w:rPr>
        <w:t>.</w:t>
      </w:r>
    </w:p>
    <w:p w14:paraId="4B5FA173" w14:textId="77777777" w:rsidR="00B04015" w:rsidRPr="00913CD4" w:rsidRDefault="00B04015" w:rsidP="00B04015">
      <w:pPr>
        <w:pStyle w:val="a0"/>
        <w:bidi/>
        <w:rPr>
          <w:rFonts w:ascii="mylotus" w:hAnsi="mylotus"/>
          <w:b/>
          <w:bCs/>
          <w:sz w:val="32"/>
          <w:rtl/>
        </w:rPr>
      </w:pPr>
      <w:r w:rsidRPr="00913CD4">
        <w:rPr>
          <w:rFonts w:ascii="mylotus" w:hAnsi="mylotus"/>
          <w:b/>
          <w:bCs/>
          <w:sz w:val="32"/>
          <w:rtl/>
          <w:lang w:bidi="ar-BH"/>
        </w:rPr>
        <w:t>الجهة الثّانية: في تنقيح الصّغرى (تطبيق المذاق على البتكوين)</w:t>
      </w:r>
    </w:p>
    <w:p w14:paraId="2EC1A6C6" w14:textId="77777777" w:rsidR="00B04015" w:rsidRPr="00913CD4" w:rsidRDefault="00B04015" w:rsidP="00B04015">
      <w:pPr>
        <w:pStyle w:val="a0"/>
        <w:bidi/>
        <w:rPr>
          <w:rFonts w:ascii="mylotus" w:hAnsi="mylotus"/>
          <w:sz w:val="32"/>
          <w:rtl/>
        </w:rPr>
      </w:pPr>
      <w:r w:rsidRPr="00913CD4">
        <w:rPr>
          <w:rFonts w:ascii="mylotus" w:hAnsi="mylotus"/>
          <w:sz w:val="32"/>
          <w:rtl/>
        </w:rPr>
        <w:t>ف</w:t>
      </w:r>
      <w:r w:rsidRPr="00913CD4">
        <w:rPr>
          <w:rFonts w:ascii="mylotus" w:hAnsi="mylotus"/>
          <w:sz w:val="32"/>
          <w:rtl/>
          <w:lang w:bidi="ar-BH"/>
        </w:rPr>
        <w:t xml:space="preserve">قد يقال في تقريبه: إن قوله تعالى: </w:t>
      </w:r>
      <w:r w:rsidRPr="00913CD4">
        <w:rPr>
          <w:rFonts w:ascii="mylotus" w:hAnsi="mylotus"/>
          <w:sz w:val="32"/>
          <w:rtl/>
        </w:rPr>
        <w:t>﴿</w:t>
      </w:r>
      <w:r w:rsidRPr="00913CD4">
        <w:rPr>
          <w:rFonts w:ascii="mylotus" w:hAnsi="mylotus"/>
          <w:sz w:val="32"/>
          <w:rtl/>
          <w:lang w:bidi="ar-BH"/>
        </w:rPr>
        <w:t>وَلَا تُؤْتُوا السُّفَهَاءَ أَمْوَالَكُمُ الَّتِي جَعَلَ اللَّهُ لَكُمْ قِيَامًا</w:t>
      </w:r>
      <w:r w:rsidRPr="00913CD4">
        <w:rPr>
          <w:rFonts w:ascii="mylotus" w:hAnsi="mylotus"/>
          <w:sz w:val="32"/>
          <w:rtl/>
        </w:rPr>
        <w:t>﴾</w:t>
      </w:r>
      <w:r w:rsidRPr="00913CD4">
        <w:rPr>
          <w:rFonts w:ascii="mylotus" w:hAnsi="mylotus"/>
          <w:sz w:val="32"/>
          <w:vertAlign w:val="superscript"/>
          <w:rtl/>
        </w:rPr>
        <w:t>(</w:t>
      </w:r>
      <w:r w:rsidRPr="00913CD4">
        <w:rPr>
          <w:rStyle w:val="ac"/>
          <w:rFonts w:ascii="mylotus" w:hAnsi="mylotus"/>
          <w:sz w:val="32"/>
          <w:rtl/>
        </w:rPr>
        <w:footnoteReference w:id="9"/>
      </w:r>
      <w:r w:rsidRPr="00913CD4">
        <w:rPr>
          <w:rFonts w:ascii="mylotus" w:hAnsi="mylotus"/>
          <w:sz w:val="32"/>
          <w:vertAlign w:val="superscript"/>
          <w:rtl/>
        </w:rPr>
        <w:t>)</w:t>
      </w:r>
      <w:r w:rsidRPr="00913CD4">
        <w:rPr>
          <w:rFonts w:ascii="mylotus" w:hAnsi="mylotus"/>
          <w:sz w:val="32"/>
          <w:rtl/>
          <w:lang w:bidi="ar-BH"/>
        </w:rPr>
        <w:t>، ظاهر في أن النّكتة في عدم تسليم المال للسّفيه هي معرضيّة المال للضّياع والزّوال، فمقتضى ذلك العلم بأنّ مذاق الشّارع أنّه لا يرضى بتعريض المال للزّوال، والتّعامل بالبتكوين متضمن لكون المال في معرضيّة الزّوال والضّياع.</w:t>
      </w:r>
    </w:p>
    <w:p w14:paraId="5627C648" w14:textId="77777777" w:rsidR="00B04015" w:rsidRPr="00913CD4" w:rsidRDefault="00B04015" w:rsidP="00B04015">
      <w:pPr>
        <w:pStyle w:val="a0"/>
        <w:bidi/>
        <w:rPr>
          <w:rFonts w:ascii="mylotus" w:hAnsi="mylotus"/>
          <w:sz w:val="32"/>
          <w:rtl/>
        </w:rPr>
      </w:pPr>
      <w:r w:rsidRPr="00913CD4">
        <w:rPr>
          <w:rFonts w:ascii="mylotus" w:hAnsi="mylotus"/>
          <w:b/>
          <w:bCs/>
          <w:sz w:val="32"/>
          <w:rtl/>
          <w:lang w:bidi="ar-BH"/>
        </w:rPr>
        <w:t>ولكن فيه:</w:t>
      </w:r>
      <w:r w:rsidRPr="00913CD4">
        <w:rPr>
          <w:rFonts w:ascii="mylotus" w:hAnsi="mylotus"/>
          <w:sz w:val="32"/>
          <w:rtl/>
          <w:lang w:bidi="ar-BH"/>
        </w:rPr>
        <w:t xml:space="preserve"> أن مفاد</w:t>
      </w:r>
      <w:r w:rsidRPr="00913CD4">
        <w:rPr>
          <w:rFonts w:ascii="mylotus" w:hAnsi="mylotus"/>
          <w:sz w:val="32"/>
          <w:rtl/>
        </w:rPr>
        <w:t xml:space="preserve"> </w:t>
      </w:r>
      <w:r w:rsidRPr="00913CD4">
        <w:rPr>
          <w:rFonts w:ascii="mylotus" w:hAnsi="mylotus"/>
          <w:sz w:val="32"/>
          <w:rtl/>
          <w:lang w:bidi="ar-BH"/>
        </w:rPr>
        <w:t>الآية المباركة بضميمة الرّوايتين الواردتين في تفسيرها هي: أنّ السّفيه لا ولاية له على الأموال، لسوء تدبيره واختلال إدارته، وأمّا الإقدام من قبل الرشيد على معاملة تجاريّة مع احتمال الخطر الماليّ</w:t>
      </w:r>
      <w:r w:rsidRPr="00913CD4">
        <w:rPr>
          <w:rFonts w:ascii="mylotus" w:hAnsi="mylotus"/>
          <w:sz w:val="32"/>
          <w:rtl/>
        </w:rPr>
        <w:t xml:space="preserve"> </w:t>
      </w:r>
      <w:r w:rsidRPr="00913CD4">
        <w:rPr>
          <w:rFonts w:ascii="mylotus" w:hAnsi="mylotus"/>
          <w:sz w:val="32"/>
          <w:rtl/>
          <w:lang w:bidi="ar-BH"/>
        </w:rPr>
        <w:t>فلا</w:t>
      </w:r>
      <w:r w:rsidRPr="00913CD4">
        <w:rPr>
          <w:rFonts w:ascii="mylotus" w:hAnsi="mylotus"/>
          <w:sz w:val="32"/>
          <w:rtl/>
        </w:rPr>
        <w:t xml:space="preserve"> </w:t>
      </w:r>
      <w:r w:rsidRPr="00913CD4">
        <w:rPr>
          <w:rFonts w:ascii="mylotus" w:hAnsi="mylotus"/>
          <w:sz w:val="32"/>
          <w:rtl/>
          <w:lang w:bidi="ar-BH"/>
        </w:rPr>
        <w:t>يستفاد من الآية انعقاد مذاق الشّارع على منعه، وإلّا لحر</w:t>
      </w:r>
      <w:r w:rsidRPr="00913CD4">
        <w:rPr>
          <w:rFonts w:ascii="mylotus" w:hAnsi="mylotus"/>
          <w:sz w:val="32"/>
          <w:rtl/>
        </w:rPr>
        <w:t>ّ</w:t>
      </w:r>
      <w:r w:rsidRPr="00913CD4">
        <w:rPr>
          <w:rFonts w:ascii="mylotus" w:hAnsi="mylotus"/>
          <w:sz w:val="32"/>
          <w:rtl/>
          <w:lang w:bidi="ar-BH"/>
        </w:rPr>
        <w:t xml:space="preserve">م التّعامل بالأسهم والكثير من التّجارات </w:t>
      </w:r>
      <w:r w:rsidRPr="00913CD4">
        <w:rPr>
          <w:rFonts w:ascii="mylotus" w:hAnsi="mylotus"/>
          <w:sz w:val="32"/>
          <w:rtl/>
          <w:lang w:bidi="ar-BH"/>
        </w:rPr>
        <w:lastRenderedPageBreak/>
        <w:t>لتضمنها الخطر المالي</w:t>
      </w:r>
      <w:r w:rsidRPr="00913CD4">
        <w:rPr>
          <w:rFonts w:ascii="mylotus" w:hAnsi="mylotus"/>
          <w:sz w:val="32"/>
          <w:rtl/>
        </w:rPr>
        <w:t>؛</w:t>
      </w:r>
      <w:r w:rsidRPr="00913CD4">
        <w:rPr>
          <w:rFonts w:ascii="mylotus" w:hAnsi="mylotus"/>
          <w:sz w:val="32"/>
          <w:rtl/>
          <w:lang w:bidi="ar-BH"/>
        </w:rPr>
        <w:t xml:space="preserve"> بل قيل: إنّ التّجارة فنّ قائم على المغامرة والمخاطرة</w:t>
      </w:r>
      <w:r w:rsidRPr="00913CD4">
        <w:rPr>
          <w:rFonts w:ascii="mylotus" w:hAnsi="mylotus"/>
          <w:sz w:val="32"/>
          <w:rtl/>
        </w:rPr>
        <w:t>،</w:t>
      </w:r>
      <w:r w:rsidRPr="00913CD4">
        <w:rPr>
          <w:rFonts w:ascii="mylotus" w:hAnsi="mylotus"/>
          <w:sz w:val="32"/>
          <w:rtl/>
          <w:lang w:bidi="ar-BH"/>
        </w:rPr>
        <w:t xml:space="preserve"> فلو كان الإقدام على معاملة تحتمل الخطر الماليّ احتمالاً عرفيًّا موجبًا لفساد المعاملة لحرمت سائر هذه المعاملات، </w:t>
      </w:r>
      <w:r w:rsidRPr="00913CD4">
        <w:rPr>
          <w:rFonts w:ascii="mylotus" w:hAnsi="mylotus"/>
          <w:sz w:val="32"/>
          <w:rtl/>
        </w:rPr>
        <w:t>و</w:t>
      </w:r>
      <w:r w:rsidRPr="00913CD4">
        <w:rPr>
          <w:rFonts w:ascii="mylotus" w:hAnsi="mylotus"/>
          <w:sz w:val="32"/>
          <w:rtl/>
          <w:lang w:bidi="ar-BH"/>
        </w:rPr>
        <w:t>لا دليل عليه.</w:t>
      </w:r>
    </w:p>
    <w:p w14:paraId="4EEE9584" w14:textId="77777777" w:rsidR="00B04015" w:rsidRPr="00913CD4" w:rsidRDefault="00B04015" w:rsidP="00B04015">
      <w:pPr>
        <w:pStyle w:val="a0"/>
        <w:bidi/>
        <w:rPr>
          <w:rFonts w:ascii="mylotus" w:hAnsi="mylotus"/>
          <w:sz w:val="32"/>
          <w:rtl/>
        </w:rPr>
      </w:pPr>
      <w:r w:rsidRPr="00913CD4">
        <w:rPr>
          <w:rFonts w:ascii="mylotus" w:hAnsi="mylotus"/>
          <w:sz w:val="32"/>
          <w:rtl/>
          <w:lang w:bidi="ar-BH"/>
        </w:rPr>
        <w:t>فالنّتيجة أنّ الاستدلال بمذاق الشّارع على حرمة التّعامل بالبتكوين غير تام.</w:t>
      </w:r>
    </w:p>
    <w:p w14:paraId="23A420BD" w14:textId="77777777" w:rsidR="008A72C9" w:rsidRPr="00913CD4" w:rsidRDefault="008A72C9" w:rsidP="008A72C9">
      <w:pPr>
        <w:pStyle w:val="a0"/>
        <w:bidi/>
        <w:rPr>
          <w:rFonts w:ascii="mylotus" w:hAnsi="mylotus"/>
          <w:b/>
          <w:bCs/>
          <w:sz w:val="32"/>
          <w:rtl/>
          <w:lang w:bidi="ar-BH"/>
        </w:rPr>
      </w:pPr>
    </w:p>
    <w:p w14:paraId="3CB96A24" w14:textId="77777777" w:rsidR="00B8151D" w:rsidRPr="00913CD4" w:rsidRDefault="00B8151D" w:rsidP="00B8151D">
      <w:pPr>
        <w:pStyle w:val="a0"/>
        <w:bidi/>
        <w:rPr>
          <w:rFonts w:ascii="mylotus" w:hAnsi="mylotus"/>
          <w:sz w:val="32"/>
          <w:rtl/>
        </w:rPr>
      </w:pPr>
    </w:p>
    <w:p w14:paraId="72502CC5" w14:textId="26D71096" w:rsidR="00EF47A8" w:rsidRPr="00913CD4" w:rsidRDefault="00EF47A8" w:rsidP="008A72C9">
      <w:pPr>
        <w:pStyle w:val="a0"/>
        <w:bidi/>
        <w:ind w:firstLine="0"/>
        <w:jc w:val="center"/>
        <w:rPr>
          <w:rFonts w:ascii="mylotus" w:hAnsi="mylotus"/>
          <w:b/>
          <w:bCs/>
          <w:sz w:val="32"/>
          <w:rtl/>
          <w:lang w:bidi="ar-BH"/>
        </w:rPr>
      </w:pPr>
      <w:r w:rsidRPr="00913CD4">
        <w:rPr>
          <w:rFonts w:ascii="mylotus" w:hAnsi="mylotus"/>
          <w:b/>
          <w:bCs/>
          <w:sz w:val="32"/>
          <w:rtl/>
          <w:lang w:bidi="ar-BH"/>
        </w:rPr>
        <w:t>والحمدُ لله رب العالمين</w:t>
      </w:r>
    </w:p>
    <w:sectPr w:rsidR="00EF47A8" w:rsidRPr="00913CD4"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271CC2" w14:textId="77777777" w:rsidR="00E05248" w:rsidRDefault="00E05248" w:rsidP="00A5027D">
      <w:pPr>
        <w:spacing w:line="240" w:lineRule="auto"/>
      </w:pPr>
      <w:r>
        <w:separator/>
      </w:r>
    </w:p>
  </w:endnote>
  <w:endnote w:type="continuationSeparator" w:id="0">
    <w:p w14:paraId="40FFCF2F" w14:textId="77777777" w:rsidR="00E05248" w:rsidRDefault="00E0524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D6B2A" w:rsidRPr="008D6B2A">
          <w:rPr>
            <w:rFonts w:ascii="mylotus" w:hAnsi="mylotus" w:cs="mylotus"/>
            <w:noProof/>
            <w:color w:val="FF0000"/>
            <w:sz w:val="24"/>
            <w:szCs w:val="24"/>
            <w:rtl/>
            <w:lang w:val="ar-SA"/>
          </w:rPr>
          <w:t>6</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14132C" w14:textId="77777777" w:rsidR="00E05248" w:rsidRDefault="00E05248" w:rsidP="00A5027D">
      <w:pPr>
        <w:spacing w:line="240" w:lineRule="auto"/>
      </w:pPr>
      <w:r>
        <w:separator/>
      </w:r>
    </w:p>
  </w:footnote>
  <w:footnote w:type="continuationSeparator" w:id="0">
    <w:p w14:paraId="102DA166" w14:textId="77777777" w:rsidR="00E05248" w:rsidRDefault="00E05248" w:rsidP="00A5027D">
      <w:pPr>
        <w:spacing w:line="240" w:lineRule="auto"/>
      </w:pPr>
      <w:r>
        <w:continuationSeparator/>
      </w:r>
    </w:p>
  </w:footnote>
  <w:footnote w:id="1">
    <w:p w14:paraId="31EACF3B" w14:textId="77777777" w:rsidR="00B04015" w:rsidRPr="00B04015" w:rsidRDefault="00B04015" w:rsidP="00B04015">
      <w:pPr>
        <w:pStyle w:val="a4"/>
        <w:rPr>
          <w:rtl/>
        </w:rPr>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B04015">
        <w:rPr>
          <w:rFonts w:hint="cs"/>
          <w:rtl/>
        </w:rPr>
        <w:t>سورة التوبة: 61.</w:t>
      </w:r>
    </w:p>
  </w:footnote>
  <w:footnote w:id="2">
    <w:p w14:paraId="181CE1F4" w14:textId="77777777" w:rsidR="00B04015" w:rsidRPr="00B04015" w:rsidRDefault="00B04015" w:rsidP="00B04015">
      <w:pPr>
        <w:pStyle w:val="a4"/>
        <w:rPr>
          <w:rtl/>
        </w:rPr>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B04015">
        <w:rPr>
          <w:rFonts w:hint="cs"/>
          <w:rtl/>
        </w:rPr>
        <w:t xml:space="preserve">راجع: </w:t>
      </w:r>
      <w:r w:rsidRPr="00790AD1">
        <w:rPr>
          <w:rFonts w:hint="cs"/>
          <w:b/>
          <w:bCs/>
          <w:rtl/>
        </w:rPr>
        <w:t>وسائل الشيعة</w:t>
      </w:r>
      <w:r w:rsidRPr="00B04015">
        <w:rPr>
          <w:rFonts w:hint="cs"/>
          <w:rtl/>
        </w:rPr>
        <w:t>، كتاب الوديعة، الباب 6، ح1.</w:t>
      </w:r>
    </w:p>
  </w:footnote>
  <w:footnote w:id="3">
    <w:p w14:paraId="2715071D" w14:textId="77777777" w:rsidR="00B04015" w:rsidRPr="00B04015" w:rsidRDefault="00B04015" w:rsidP="00B04015">
      <w:pPr>
        <w:pStyle w:val="a4"/>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2A7E5D">
        <w:rPr>
          <w:rFonts w:hint="cs"/>
          <w:b/>
          <w:bCs/>
          <w:rtl/>
        </w:rPr>
        <w:t>موسوعة السيد الخوئي</w:t>
      </w:r>
      <w:r w:rsidRPr="00B04015">
        <w:rPr>
          <w:rFonts w:hint="cs"/>
          <w:rtl/>
        </w:rPr>
        <w:t xml:space="preserve">، أبو القاسم الخوئي، </w:t>
      </w:r>
      <w:r w:rsidRPr="00B04015">
        <w:rPr>
          <w:rtl/>
          <w:lang w:bidi="ar-BH"/>
        </w:rPr>
        <w:t>ج1</w:t>
      </w:r>
      <w:r w:rsidRPr="00B04015">
        <w:rPr>
          <w:rFonts w:hint="cs"/>
          <w:rtl/>
        </w:rPr>
        <w:t>،</w:t>
      </w:r>
      <w:r w:rsidRPr="00B04015">
        <w:rPr>
          <w:rtl/>
          <w:lang w:bidi="ar-BH"/>
        </w:rPr>
        <w:t xml:space="preserve"> ص185</w:t>
      </w:r>
      <w:r w:rsidRPr="00B04015">
        <w:rPr>
          <w:rFonts w:hint="cs"/>
          <w:rtl/>
        </w:rPr>
        <w:t>.</w:t>
      </w:r>
    </w:p>
  </w:footnote>
  <w:footnote w:id="4">
    <w:p w14:paraId="6CBEA339" w14:textId="77777777" w:rsidR="00B04015" w:rsidRPr="00B04015" w:rsidRDefault="00B04015" w:rsidP="00B04015">
      <w:pPr>
        <w:pStyle w:val="a4"/>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2A7E5D">
        <w:rPr>
          <w:rFonts w:hint="cs"/>
          <w:b/>
          <w:bCs/>
          <w:rtl/>
        </w:rPr>
        <w:t>موسوعة السيد الخوئي</w:t>
      </w:r>
      <w:r w:rsidRPr="00B04015">
        <w:rPr>
          <w:rFonts w:hint="cs"/>
          <w:rtl/>
        </w:rPr>
        <w:t xml:space="preserve">، أبو القاسم الخوئي، </w:t>
      </w:r>
      <w:r w:rsidRPr="00B04015">
        <w:rPr>
          <w:rtl/>
          <w:lang w:bidi="ar-BH"/>
        </w:rPr>
        <w:t>ج1</w:t>
      </w:r>
      <w:r w:rsidRPr="00B04015">
        <w:rPr>
          <w:rFonts w:hint="cs"/>
          <w:rtl/>
        </w:rPr>
        <w:t>،</w:t>
      </w:r>
      <w:r w:rsidRPr="00B04015">
        <w:rPr>
          <w:rtl/>
          <w:lang w:bidi="ar-BH"/>
        </w:rPr>
        <w:t xml:space="preserve"> ص187</w:t>
      </w:r>
      <w:r w:rsidRPr="00B04015">
        <w:rPr>
          <w:rFonts w:hint="cs"/>
          <w:rtl/>
        </w:rPr>
        <w:t>.</w:t>
      </w:r>
    </w:p>
  </w:footnote>
  <w:footnote w:id="5">
    <w:p w14:paraId="6888AAAE" w14:textId="77777777" w:rsidR="00B04015" w:rsidRPr="00B04015" w:rsidRDefault="00B04015" w:rsidP="00B04015">
      <w:pPr>
        <w:pStyle w:val="a4"/>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2A7E5D">
        <w:rPr>
          <w:rFonts w:hint="cs"/>
          <w:b/>
          <w:bCs/>
          <w:rtl/>
        </w:rPr>
        <w:t>موسوعة السيد الخوئي</w:t>
      </w:r>
      <w:r w:rsidRPr="00B04015">
        <w:rPr>
          <w:rFonts w:hint="cs"/>
          <w:rtl/>
        </w:rPr>
        <w:t xml:space="preserve">، أبو القاسم الخوئي، </w:t>
      </w:r>
      <w:r w:rsidRPr="00B04015">
        <w:rPr>
          <w:rtl/>
          <w:lang w:bidi="ar-BH"/>
        </w:rPr>
        <w:t>ج21</w:t>
      </w:r>
      <w:r w:rsidRPr="00B04015">
        <w:rPr>
          <w:rFonts w:hint="cs"/>
          <w:rtl/>
        </w:rPr>
        <w:t>،</w:t>
      </w:r>
      <w:r w:rsidRPr="00B04015">
        <w:rPr>
          <w:rtl/>
          <w:lang w:bidi="ar-BH"/>
        </w:rPr>
        <w:t xml:space="preserve"> ص345</w:t>
      </w:r>
      <w:r w:rsidRPr="00B04015">
        <w:rPr>
          <w:rFonts w:hint="cs"/>
          <w:rtl/>
        </w:rPr>
        <w:t>.</w:t>
      </w:r>
    </w:p>
  </w:footnote>
  <w:footnote w:id="6">
    <w:p w14:paraId="5E08C17B" w14:textId="77777777" w:rsidR="00B04015" w:rsidRPr="00B04015" w:rsidRDefault="00B04015" w:rsidP="00B04015">
      <w:pPr>
        <w:pStyle w:val="a4"/>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2A7E5D">
        <w:rPr>
          <w:rFonts w:hint="cs"/>
          <w:b/>
          <w:bCs/>
          <w:rtl/>
        </w:rPr>
        <w:t>مستمسك العروة الوثقى</w:t>
      </w:r>
      <w:r w:rsidRPr="00B04015">
        <w:rPr>
          <w:rFonts w:hint="cs"/>
          <w:rtl/>
        </w:rPr>
        <w:t xml:space="preserve">، السيد محسن الحكيم، </w:t>
      </w:r>
      <w:r w:rsidRPr="00B04015">
        <w:rPr>
          <w:rtl/>
          <w:lang w:bidi="ar-BH"/>
        </w:rPr>
        <w:t>ج9</w:t>
      </w:r>
      <w:r w:rsidRPr="00B04015">
        <w:rPr>
          <w:rFonts w:hint="cs"/>
          <w:rtl/>
        </w:rPr>
        <w:t>،</w:t>
      </w:r>
      <w:r w:rsidRPr="00B04015">
        <w:rPr>
          <w:rtl/>
          <w:lang w:bidi="ar-BH"/>
        </w:rPr>
        <w:t xml:space="preserve"> ص322</w:t>
      </w:r>
      <w:r w:rsidRPr="00B04015">
        <w:rPr>
          <w:rFonts w:hint="cs"/>
          <w:rtl/>
        </w:rPr>
        <w:t>.</w:t>
      </w:r>
    </w:p>
  </w:footnote>
  <w:footnote w:id="7">
    <w:p w14:paraId="10F37795" w14:textId="77777777" w:rsidR="00B04015" w:rsidRPr="00B04015" w:rsidRDefault="00B04015" w:rsidP="00B04015">
      <w:pPr>
        <w:pStyle w:val="a4"/>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2A7E5D">
        <w:rPr>
          <w:rFonts w:hint="cs"/>
          <w:b/>
          <w:bCs/>
          <w:rtl/>
        </w:rPr>
        <w:t>المحكم أصول الفقه</w:t>
      </w:r>
      <w:r w:rsidRPr="00B04015">
        <w:rPr>
          <w:rFonts w:hint="cs"/>
          <w:rtl/>
        </w:rPr>
        <w:t xml:space="preserve">، السيد محمد سعيد الحكيم، </w:t>
      </w:r>
      <w:r w:rsidRPr="00B04015">
        <w:rPr>
          <w:rtl/>
          <w:lang w:bidi="ar-BH"/>
        </w:rPr>
        <w:t>ج6</w:t>
      </w:r>
      <w:r w:rsidRPr="00B04015">
        <w:rPr>
          <w:rFonts w:hint="cs"/>
          <w:rtl/>
        </w:rPr>
        <w:t xml:space="preserve">، </w:t>
      </w:r>
      <w:r w:rsidRPr="00B04015">
        <w:rPr>
          <w:rtl/>
          <w:lang w:bidi="ar-BH"/>
        </w:rPr>
        <w:t>ص376</w:t>
      </w:r>
      <w:r w:rsidRPr="00B04015">
        <w:rPr>
          <w:rFonts w:hint="cs"/>
          <w:rtl/>
        </w:rPr>
        <w:t>.</w:t>
      </w:r>
    </w:p>
  </w:footnote>
  <w:footnote w:id="8">
    <w:p w14:paraId="673F582F" w14:textId="77777777" w:rsidR="00B04015" w:rsidRPr="00B04015" w:rsidRDefault="00B04015" w:rsidP="00B04015">
      <w:pPr>
        <w:pStyle w:val="a4"/>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2A7E5D">
        <w:rPr>
          <w:rFonts w:hint="cs"/>
          <w:b/>
          <w:bCs/>
          <w:rtl/>
        </w:rPr>
        <w:t>دروس في مسائل علم الأصول</w:t>
      </w:r>
      <w:r w:rsidRPr="00B04015">
        <w:rPr>
          <w:rFonts w:hint="cs"/>
          <w:rtl/>
        </w:rPr>
        <w:t xml:space="preserve">، الميرزا الشيخ جواد التبريزي، </w:t>
      </w:r>
      <w:r w:rsidRPr="00B04015">
        <w:rPr>
          <w:rtl/>
          <w:lang w:bidi="ar-BH"/>
        </w:rPr>
        <w:t>ج5</w:t>
      </w:r>
      <w:r w:rsidRPr="00B04015">
        <w:rPr>
          <w:rFonts w:hint="cs"/>
          <w:rtl/>
        </w:rPr>
        <w:t xml:space="preserve">، </w:t>
      </w:r>
      <w:r w:rsidRPr="00B04015">
        <w:rPr>
          <w:rtl/>
          <w:lang w:bidi="ar-BH"/>
        </w:rPr>
        <w:t>ص189</w:t>
      </w:r>
      <w:r w:rsidRPr="00B04015">
        <w:rPr>
          <w:rFonts w:hint="cs"/>
          <w:rtl/>
        </w:rPr>
        <w:t>.</w:t>
      </w:r>
    </w:p>
  </w:footnote>
  <w:footnote w:id="9">
    <w:p w14:paraId="0426E0BD" w14:textId="77777777" w:rsidR="00B04015" w:rsidRPr="00B04015" w:rsidRDefault="00B04015" w:rsidP="00B04015">
      <w:pPr>
        <w:pStyle w:val="a4"/>
      </w:pPr>
      <w:r w:rsidRPr="00B04015">
        <w:rPr>
          <w:rFonts w:hint="cs"/>
          <w:rtl/>
        </w:rPr>
        <w:t>(</w:t>
      </w:r>
      <w:r w:rsidRPr="00B04015">
        <w:rPr>
          <w:rStyle w:val="ac"/>
          <w:vertAlign w:val="baseline"/>
        </w:rPr>
        <w:footnoteRef/>
      </w:r>
      <w:r w:rsidRPr="00B04015">
        <w:rPr>
          <w:rFonts w:hint="cs"/>
          <w:rtl/>
        </w:rPr>
        <w:t>)</w:t>
      </w:r>
      <w:r w:rsidRPr="00B04015">
        <w:rPr>
          <w:rtl/>
        </w:rPr>
        <w:t xml:space="preserve"> </w:t>
      </w:r>
      <w:r w:rsidRPr="00B04015">
        <w:rPr>
          <w:rFonts w:hint="cs"/>
          <w:rtl/>
        </w:rPr>
        <w:t>سورة النساء: 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2228B9C6" w:rsidR="00B07F43" w:rsidRPr="00EF47A8" w:rsidRDefault="00B07F43" w:rsidP="00EF47A8">
    <w:pPr>
      <w:pStyle w:val="a9"/>
      <w:tabs>
        <w:tab w:val="clear" w:pos="4513"/>
        <w:tab w:val="clear" w:pos="9026"/>
        <w:tab w:val="left" w:pos="-29"/>
        <w:tab w:val="right" w:pos="9752"/>
      </w:tabs>
      <w:rPr>
        <w:rFonts w:ascii="mylotus" w:hAnsi="mylotus" w:cs="mylotus"/>
        <w:sz w:val="24"/>
        <w:szCs w:val="24"/>
        <w:lang w:val="en-US"/>
      </w:rPr>
    </w:pPr>
    <w:r w:rsidRPr="00EF47A8">
      <w:rPr>
        <w:rFonts w:ascii="mylotus" w:hAnsi="mylotus" w:cs="mylotus"/>
        <w:noProof/>
        <w:color w:val="FF0000"/>
        <w:sz w:val="24"/>
        <w:szCs w:val="24"/>
        <w:rtl/>
        <w:lang w:val="en-US"/>
      </w:rPr>
      <mc:AlternateContent>
        <mc:Choice Requires="wps">
          <w:drawing>
            <wp:anchor distT="0" distB="0" distL="114300" distR="114300" simplePos="0" relativeHeight="25166233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6A7890" id="رابط مستقيم 1"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8145D" w:rsidRPr="00EF47A8">
      <w:rPr>
        <w:rFonts w:ascii="mylotus" w:hAnsi="mylotus" w:cs="mylotus"/>
        <w:color w:val="FF0000"/>
        <w:sz w:val="24"/>
        <w:szCs w:val="24"/>
        <w:rtl/>
      </w:rPr>
      <w:t xml:space="preserve">بحث فقه المسائل المستحدثة </w:t>
    </w:r>
    <w:r w:rsidR="00B8145D" w:rsidRPr="00EF47A8">
      <w:rPr>
        <w:rFonts w:ascii="mylotus" w:hAnsi="mylotus" w:cs="mylotus" w:hint="cs"/>
        <w:color w:val="FF0000"/>
        <w:sz w:val="24"/>
        <w:szCs w:val="24"/>
        <w:rtl/>
      </w:rPr>
      <w:t>(</w:t>
    </w:r>
    <w:r w:rsidR="002F77AC">
      <w:rPr>
        <w:rFonts w:ascii="mylotus" w:hAnsi="mylotus" w:cs="mylotus" w:hint="cs"/>
        <w:color w:val="FF0000"/>
        <w:sz w:val="24"/>
        <w:szCs w:val="24"/>
        <w:rtl/>
      </w:rPr>
      <w:t>8</w:t>
    </w:r>
    <w:r w:rsidR="00B8145D"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C356BD">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C356BD">
      <w:rPr>
        <w:rFonts w:ascii="mylotus" w:hAnsi="mylotus" w:cs="mylotus" w:hint="cs"/>
        <w:color w:val="FF0000"/>
        <w:sz w:val="24"/>
        <w:szCs w:val="24"/>
        <w:rtl/>
      </w:rPr>
      <w:t>العملة الرقمية (</w:t>
    </w:r>
    <w:proofErr w:type="spellStart"/>
    <w:r w:rsidR="00C356BD">
      <w:rPr>
        <w:rFonts w:ascii="mylotus" w:hAnsi="mylotus" w:cs="mylotus" w:hint="cs"/>
        <w:color w:val="FF0000"/>
        <w:sz w:val="24"/>
        <w:szCs w:val="24"/>
        <w:rtl/>
      </w:rPr>
      <w:t>البتكوين</w:t>
    </w:r>
    <w:proofErr w:type="spellEnd"/>
    <w:r w:rsidR="00C356BD">
      <w:rPr>
        <w:rFonts w:ascii="mylotus" w:hAnsi="mylotus" w:cs="mylotus" w:hint="cs"/>
        <w:color w:val="FF0000"/>
        <w:sz w:val="24"/>
        <w:szCs w:val="24"/>
        <w:rtl/>
      </w:rPr>
      <w:t xml:space="preserve">) </w:t>
    </w:r>
    <w:r w:rsidR="002F77AC">
      <w:rPr>
        <w:rFonts w:ascii="mylotus" w:hAnsi="mylotus" w:cs="mylotus" w:hint="cs"/>
        <w:color w:val="FF0000"/>
        <w:sz w:val="24"/>
        <w:szCs w:val="24"/>
        <w:rtl/>
      </w:rPr>
      <w:t>6</w:t>
    </w:r>
    <w:r w:rsidR="002F7D24" w:rsidRPr="00EF47A8">
      <w:rPr>
        <w:rFonts w:ascii="mylotus" w:hAnsi="mylotus" w:cs="mylotus"/>
        <w:color w:val="FF0000"/>
        <w:sz w:val="24"/>
        <w:szCs w:val="24"/>
        <w:rtl/>
      </w:rPr>
      <w:t xml:space="preserve"> - ليلة </w:t>
    </w:r>
    <w:r w:rsidR="002F77AC">
      <w:rPr>
        <w:rFonts w:ascii="mylotus" w:hAnsi="mylotus" w:cs="mylotus" w:hint="cs"/>
        <w:color w:val="FF0000"/>
        <w:sz w:val="24"/>
        <w:szCs w:val="24"/>
        <w:rtl/>
      </w:rPr>
      <w:t>الخميس 8</w:t>
    </w:r>
    <w:r w:rsidR="00EF47A8" w:rsidRPr="00EF47A8">
      <w:rPr>
        <w:rFonts w:ascii="mylotus" w:hAnsi="mylotus" w:cs="mylotus" w:hint="cs"/>
        <w:color w:val="FF0000"/>
        <w:sz w:val="24"/>
        <w:szCs w:val="24"/>
        <w:rtl/>
      </w:rPr>
      <w:t xml:space="preserve"> </w:t>
    </w:r>
    <w:r w:rsidR="00B8145D" w:rsidRPr="00EF47A8">
      <w:rPr>
        <w:rFonts w:ascii="mylotus" w:hAnsi="mylotus" w:cs="mylotus"/>
        <w:color w:val="FF0000"/>
        <w:sz w:val="24"/>
        <w:szCs w:val="24"/>
        <w:rtl/>
      </w:rPr>
      <w:t>شهر رمضان ١٤٤٧هج</w:t>
    </w:r>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Pr="00EF47A8">
      <w:rPr>
        <w:rFonts w:ascii="mylotus" w:hAnsi="mylotus" w:cs="mylotus"/>
        <w:color w:val="FF0000"/>
        <w:sz w:val="24"/>
        <w:szCs w:val="24"/>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12B79"/>
    <w:rsid w:val="00014663"/>
    <w:rsid w:val="00014E51"/>
    <w:rsid w:val="0003362C"/>
    <w:rsid w:val="00035793"/>
    <w:rsid w:val="0004271A"/>
    <w:rsid w:val="00054F91"/>
    <w:rsid w:val="0006236F"/>
    <w:rsid w:val="000634C0"/>
    <w:rsid w:val="00073017"/>
    <w:rsid w:val="00075B8F"/>
    <w:rsid w:val="00083EE7"/>
    <w:rsid w:val="00085C01"/>
    <w:rsid w:val="000868A0"/>
    <w:rsid w:val="000A1086"/>
    <w:rsid w:val="000C2631"/>
    <w:rsid w:val="000E2AF5"/>
    <w:rsid w:val="000F2D22"/>
    <w:rsid w:val="00102391"/>
    <w:rsid w:val="00104288"/>
    <w:rsid w:val="00111AE8"/>
    <w:rsid w:val="00116171"/>
    <w:rsid w:val="00126819"/>
    <w:rsid w:val="00154286"/>
    <w:rsid w:val="001700E2"/>
    <w:rsid w:val="0017077E"/>
    <w:rsid w:val="00177464"/>
    <w:rsid w:val="0018506F"/>
    <w:rsid w:val="00190CDF"/>
    <w:rsid w:val="001B36AE"/>
    <w:rsid w:val="001B7AAB"/>
    <w:rsid w:val="001C49FF"/>
    <w:rsid w:val="001D0455"/>
    <w:rsid w:val="001D2C21"/>
    <w:rsid w:val="001D40F0"/>
    <w:rsid w:val="001E46A2"/>
    <w:rsid w:val="001F034F"/>
    <w:rsid w:val="001F6237"/>
    <w:rsid w:val="0021164C"/>
    <w:rsid w:val="00212967"/>
    <w:rsid w:val="002220AA"/>
    <w:rsid w:val="00225C1C"/>
    <w:rsid w:val="002333B8"/>
    <w:rsid w:val="002336EE"/>
    <w:rsid w:val="002339F1"/>
    <w:rsid w:val="002438AD"/>
    <w:rsid w:val="0024499D"/>
    <w:rsid w:val="002530E6"/>
    <w:rsid w:val="00257474"/>
    <w:rsid w:val="00294D72"/>
    <w:rsid w:val="002951F9"/>
    <w:rsid w:val="002A79FA"/>
    <w:rsid w:val="002A7E5D"/>
    <w:rsid w:val="002B4296"/>
    <w:rsid w:val="002B4E62"/>
    <w:rsid w:val="002C3704"/>
    <w:rsid w:val="002D0D9E"/>
    <w:rsid w:val="002D2D63"/>
    <w:rsid w:val="002E7166"/>
    <w:rsid w:val="002F1501"/>
    <w:rsid w:val="002F4A41"/>
    <w:rsid w:val="002F77AC"/>
    <w:rsid w:val="002F7D24"/>
    <w:rsid w:val="00316628"/>
    <w:rsid w:val="003228E8"/>
    <w:rsid w:val="00331615"/>
    <w:rsid w:val="00334914"/>
    <w:rsid w:val="00341791"/>
    <w:rsid w:val="00346652"/>
    <w:rsid w:val="0035443E"/>
    <w:rsid w:val="0035715B"/>
    <w:rsid w:val="00382085"/>
    <w:rsid w:val="00396289"/>
    <w:rsid w:val="003A0D7F"/>
    <w:rsid w:val="003A4C77"/>
    <w:rsid w:val="003C27B3"/>
    <w:rsid w:val="003C5C22"/>
    <w:rsid w:val="003E28FC"/>
    <w:rsid w:val="003F635C"/>
    <w:rsid w:val="00402155"/>
    <w:rsid w:val="00416FF8"/>
    <w:rsid w:val="00417B1F"/>
    <w:rsid w:val="00426274"/>
    <w:rsid w:val="00434EF0"/>
    <w:rsid w:val="004417B4"/>
    <w:rsid w:val="00444116"/>
    <w:rsid w:val="004713E0"/>
    <w:rsid w:val="00484618"/>
    <w:rsid w:val="0048735F"/>
    <w:rsid w:val="00487DED"/>
    <w:rsid w:val="004A66CC"/>
    <w:rsid w:val="004B03A0"/>
    <w:rsid w:val="004B14A5"/>
    <w:rsid w:val="004B76A6"/>
    <w:rsid w:val="004C2054"/>
    <w:rsid w:val="004C5D4E"/>
    <w:rsid w:val="004C7537"/>
    <w:rsid w:val="004D6F7D"/>
    <w:rsid w:val="004E1525"/>
    <w:rsid w:val="0050790C"/>
    <w:rsid w:val="00512C92"/>
    <w:rsid w:val="0051676D"/>
    <w:rsid w:val="005177DE"/>
    <w:rsid w:val="0052265A"/>
    <w:rsid w:val="00524E83"/>
    <w:rsid w:val="005365F6"/>
    <w:rsid w:val="00560065"/>
    <w:rsid w:val="00560F51"/>
    <w:rsid w:val="0058437E"/>
    <w:rsid w:val="00591778"/>
    <w:rsid w:val="00595632"/>
    <w:rsid w:val="005A573C"/>
    <w:rsid w:val="005B35E0"/>
    <w:rsid w:val="005D1880"/>
    <w:rsid w:val="005D3B52"/>
    <w:rsid w:val="005F0F6F"/>
    <w:rsid w:val="005F70FF"/>
    <w:rsid w:val="005F7776"/>
    <w:rsid w:val="0060278A"/>
    <w:rsid w:val="00612084"/>
    <w:rsid w:val="00623790"/>
    <w:rsid w:val="006248DE"/>
    <w:rsid w:val="006254BE"/>
    <w:rsid w:val="006333B1"/>
    <w:rsid w:val="00637DBE"/>
    <w:rsid w:val="00646A5D"/>
    <w:rsid w:val="00652CA2"/>
    <w:rsid w:val="00656B62"/>
    <w:rsid w:val="00657D5F"/>
    <w:rsid w:val="0067710E"/>
    <w:rsid w:val="00683B86"/>
    <w:rsid w:val="00690E2B"/>
    <w:rsid w:val="00694C4A"/>
    <w:rsid w:val="00696BDC"/>
    <w:rsid w:val="006A108B"/>
    <w:rsid w:val="006A1855"/>
    <w:rsid w:val="006A3CD3"/>
    <w:rsid w:val="006A758D"/>
    <w:rsid w:val="006B6BCB"/>
    <w:rsid w:val="006C341E"/>
    <w:rsid w:val="006C6C7F"/>
    <w:rsid w:val="006D031B"/>
    <w:rsid w:val="006D0642"/>
    <w:rsid w:val="006D6E7E"/>
    <w:rsid w:val="006E1B18"/>
    <w:rsid w:val="006E259B"/>
    <w:rsid w:val="006F072D"/>
    <w:rsid w:val="006F6650"/>
    <w:rsid w:val="00700C70"/>
    <w:rsid w:val="00701077"/>
    <w:rsid w:val="00701E4F"/>
    <w:rsid w:val="007237A9"/>
    <w:rsid w:val="007268AB"/>
    <w:rsid w:val="007310D4"/>
    <w:rsid w:val="00732DB7"/>
    <w:rsid w:val="00740CF8"/>
    <w:rsid w:val="00753B14"/>
    <w:rsid w:val="0076539C"/>
    <w:rsid w:val="00776E98"/>
    <w:rsid w:val="00781258"/>
    <w:rsid w:val="00790AD1"/>
    <w:rsid w:val="00791C2B"/>
    <w:rsid w:val="007926E8"/>
    <w:rsid w:val="007A1A5D"/>
    <w:rsid w:val="007A59E2"/>
    <w:rsid w:val="007B25DF"/>
    <w:rsid w:val="007C596C"/>
    <w:rsid w:val="007D0826"/>
    <w:rsid w:val="007D2646"/>
    <w:rsid w:val="007D2DF4"/>
    <w:rsid w:val="007D3C58"/>
    <w:rsid w:val="007D6129"/>
    <w:rsid w:val="007E4A75"/>
    <w:rsid w:val="007F2A1F"/>
    <w:rsid w:val="00836BC1"/>
    <w:rsid w:val="008469EC"/>
    <w:rsid w:val="00850894"/>
    <w:rsid w:val="00852165"/>
    <w:rsid w:val="00861F42"/>
    <w:rsid w:val="00886478"/>
    <w:rsid w:val="008943C4"/>
    <w:rsid w:val="00895528"/>
    <w:rsid w:val="008A72C9"/>
    <w:rsid w:val="008A7669"/>
    <w:rsid w:val="008B2BF2"/>
    <w:rsid w:val="008B5A1B"/>
    <w:rsid w:val="008B6C9C"/>
    <w:rsid w:val="008C18BC"/>
    <w:rsid w:val="008C59F7"/>
    <w:rsid w:val="008D0522"/>
    <w:rsid w:val="008D1AF3"/>
    <w:rsid w:val="008D2DBE"/>
    <w:rsid w:val="008D6B2A"/>
    <w:rsid w:val="008E10C9"/>
    <w:rsid w:val="008E3B5F"/>
    <w:rsid w:val="00900A07"/>
    <w:rsid w:val="009076DD"/>
    <w:rsid w:val="00913CD4"/>
    <w:rsid w:val="009153E5"/>
    <w:rsid w:val="00916630"/>
    <w:rsid w:val="0092604C"/>
    <w:rsid w:val="00946D46"/>
    <w:rsid w:val="00950CF6"/>
    <w:rsid w:val="00952DCA"/>
    <w:rsid w:val="0095312D"/>
    <w:rsid w:val="00963C62"/>
    <w:rsid w:val="00964B73"/>
    <w:rsid w:val="0096623A"/>
    <w:rsid w:val="0097647D"/>
    <w:rsid w:val="00981BAE"/>
    <w:rsid w:val="0098687C"/>
    <w:rsid w:val="00991053"/>
    <w:rsid w:val="00994D9F"/>
    <w:rsid w:val="009954B5"/>
    <w:rsid w:val="009B1550"/>
    <w:rsid w:val="009B6F1C"/>
    <w:rsid w:val="009C701E"/>
    <w:rsid w:val="009D6A38"/>
    <w:rsid w:val="009D7D48"/>
    <w:rsid w:val="009E5EBF"/>
    <w:rsid w:val="009E651D"/>
    <w:rsid w:val="009F2DCF"/>
    <w:rsid w:val="009F4BE3"/>
    <w:rsid w:val="00A04BE3"/>
    <w:rsid w:val="00A0527F"/>
    <w:rsid w:val="00A06115"/>
    <w:rsid w:val="00A1068D"/>
    <w:rsid w:val="00A15BAE"/>
    <w:rsid w:val="00A162A4"/>
    <w:rsid w:val="00A17844"/>
    <w:rsid w:val="00A43232"/>
    <w:rsid w:val="00A5027D"/>
    <w:rsid w:val="00A53FEA"/>
    <w:rsid w:val="00A63606"/>
    <w:rsid w:val="00A66546"/>
    <w:rsid w:val="00A672B9"/>
    <w:rsid w:val="00A82687"/>
    <w:rsid w:val="00A90FD4"/>
    <w:rsid w:val="00A92C34"/>
    <w:rsid w:val="00A932D7"/>
    <w:rsid w:val="00A97E8F"/>
    <w:rsid w:val="00AA393D"/>
    <w:rsid w:val="00AB0BF9"/>
    <w:rsid w:val="00AB2506"/>
    <w:rsid w:val="00AB4593"/>
    <w:rsid w:val="00AC0335"/>
    <w:rsid w:val="00AC2737"/>
    <w:rsid w:val="00AD187B"/>
    <w:rsid w:val="00AD4ACE"/>
    <w:rsid w:val="00AF658D"/>
    <w:rsid w:val="00B04015"/>
    <w:rsid w:val="00B05107"/>
    <w:rsid w:val="00B05627"/>
    <w:rsid w:val="00B07F43"/>
    <w:rsid w:val="00B148FC"/>
    <w:rsid w:val="00B15C12"/>
    <w:rsid w:val="00B2491F"/>
    <w:rsid w:val="00B24C0B"/>
    <w:rsid w:val="00B27FD9"/>
    <w:rsid w:val="00B401A1"/>
    <w:rsid w:val="00B42E19"/>
    <w:rsid w:val="00B4551F"/>
    <w:rsid w:val="00B54C68"/>
    <w:rsid w:val="00B65C14"/>
    <w:rsid w:val="00B70A67"/>
    <w:rsid w:val="00B71632"/>
    <w:rsid w:val="00B77EC8"/>
    <w:rsid w:val="00B8145D"/>
    <w:rsid w:val="00B8151D"/>
    <w:rsid w:val="00B81EB8"/>
    <w:rsid w:val="00B87CBD"/>
    <w:rsid w:val="00B87FE6"/>
    <w:rsid w:val="00B96BED"/>
    <w:rsid w:val="00B97D7F"/>
    <w:rsid w:val="00BA53AA"/>
    <w:rsid w:val="00BB1CD3"/>
    <w:rsid w:val="00BB1D40"/>
    <w:rsid w:val="00BB58EF"/>
    <w:rsid w:val="00BD0942"/>
    <w:rsid w:val="00BD2206"/>
    <w:rsid w:val="00BD26E3"/>
    <w:rsid w:val="00BD3D69"/>
    <w:rsid w:val="00BD7A64"/>
    <w:rsid w:val="00BE5E75"/>
    <w:rsid w:val="00BF0852"/>
    <w:rsid w:val="00C017CB"/>
    <w:rsid w:val="00C02079"/>
    <w:rsid w:val="00C20D65"/>
    <w:rsid w:val="00C22646"/>
    <w:rsid w:val="00C3133B"/>
    <w:rsid w:val="00C356BD"/>
    <w:rsid w:val="00C37E61"/>
    <w:rsid w:val="00C57BF1"/>
    <w:rsid w:val="00C705EB"/>
    <w:rsid w:val="00C72348"/>
    <w:rsid w:val="00C7591A"/>
    <w:rsid w:val="00C83005"/>
    <w:rsid w:val="00C87EE1"/>
    <w:rsid w:val="00C96172"/>
    <w:rsid w:val="00C9737F"/>
    <w:rsid w:val="00C97837"/>
    <w:rsid w:val="00CB1F7A"/>
    <w:rsid w:val="00CB5F23"/>
    <w:rsid w:val="00CC72D7"/>
    <w:rsid w:val="00CD4C3D"/>
    <w:rsid w:val="00CE6FAD"/>
    <w:rsid w:val="00CF60B7"/>
    <w:rsid w:val="00D05950"/>
    <w:rsid w:val="00D12BC7"/>
    <w:rsid w:val="00D13826"/>
    <w:rsid w:val="00D31E52"/>
    <w:rsid w:val="00D83D98"/>
    <w:rsid w:val="00D84C80"/>
    <w:rsid w:val="00D965CE"/>
    <w:rsid w:val="00DA0B26"/>
    <w:rsid w:val="00DA7AC6"/>
    <w:rsid w:val="00DB1F3D"/>
    <w:rsid w:val="00DD08B6"/>
    <w:rsid w:val="00DD33E6"/>
    <w:rsid w:val="00DF0E53"/>
    <w:rsid w:val="00DF1A38"/>
    <w:rsid w:val="00DF2071"/>
    <w:rsid w:val="00E02CFA"/>
    <w:rsid w:val="00E05248"/>
    <w:rsid w:val="00E13660"/>
    <w:rsid w:val="00E1503B"/>
    <w:rsid w:val="00E20D9C"/>
    <w:rsid w:val="00E27207"/>
    <w:rsid w:val="00E37303"/>
    <w:rsid w:val="00E50090"/>
    <w:rsid w:val="00E5678F"/>
    <w:rsid w:val="00E567DE"/>
    <w:rsid w:val="00E616B8"/>
    <w:rsid w:val="00E62F33"/>
    <w:rsid w:val="00E706A4"/>
    <w:rsid w:val="00E73CE3"/>
    <w:rsid w:val="00E7460D"/>
    <w:rsid w:val="00E80680"/>
    <w:rsid w:val="00E81C50"/>
    <w:rsid w:val="00E91C1E"/>
    <w:rsid w:val="00E925D2"/>
    <w:rsid w:val="00E96167"/>
    <w:rsid w:val="00EB313E"/>
    <w:rsid w:val="00EC0098"/>
    <w:rsid w:val="00EC2D5F"/>
    <w:rsid w:val="00ED27C3"/>
    <w:rsid w:val="00ED34FE"/>
    <w:rsid w:val="00ED7012"/>
    <w:rsid w:val="00EF47A8"/>
    <w:rsid w:val="00EF4A02"/>
    <w:rsid w:val="00EF4E74"/>
    <w:rsid w:val="00F03EE5"/>
    <w:rsid w:val="00F102E2"/>
    <w:rsid w:val="00F13ED3"/>
    <w:rsid w:val="00F21E37"/>
    <w:rsid w:val="00F2232F"/>
    <w:rsid w:val="00F24C8D"/>
    <w:rsid w:val="00F24EC7"/>
    <w:rsid w:val="00F31F05"/>
    <w:rsid w:val="00F33A77"/>
    <w:rsid w:val="00F4159D"/>
    <w:rsid w:val="00F52DC7"/>
    <w:rsid w:val="00F6280E"/>
    <w:rsid w:val="00F635B7"/>
    <w:rsid w:val="00F6536F"/>
    <w:rsid w:val="00F72F28"/>
    <w:rsid w:val="00F760D6"/>
    <w:rsid w:val="00F76336"/>
    <w:rsid w:val="00F83D13"/>
    <w:rsid w:val="00F87C5B"/>
    <w:rsid w:val="00F9000E"/>
    <w:rsid w:val="00FB2461"/>
    <w:rsid w:val="00FB61E8"/>
    <w:rsid w:val="00FC2FF8"/>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B04015"/>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B04015"/>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E8E3C-C087-460B-BEAB-4A05B264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5</TotalTime>
  <Pages>6</Pages>
  <Words>1538</Words>
  <Characters>8769</Characters>
  <Application>Microsoft Office Word</Application>
  <DocSecurity>0</DocSecurity>
  <Lines>73</Lines>
  <Paragraphs>20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10287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2026-03-04T03:09:00Z</cp:lastPrinted>
  <dcterms:created xsi:type="dcterms:W3CDTF">2026-03-04T03:09:00Z</dcterms:created>
  <dcterms:modified xsi:type="dcterms:W3CDTF">2026-03-04T03:11:00Z</dcterms:modified>
</cp:coreProperties>
</file>