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1A894E94" w14:textId="77777777" w:rsidR="007C659F" w:rsidRDefault="007C659F" w:rsidP="007C659F">
      <w:pPr>
        <w:rPr>
          <w:rtl/>
        </w:rPr>
      </w:pPr>
    </w:p>
    <w:p w14:paraId="20985225" w14:textId="77777777" w:rsidR="007C659F" w:rsidRPr="0008341C" w:rsidRDefault="007C659F" w:rsidP="007C659F">
      <w:pPr>
        <w:pStyle w:val="a0"/>
        <w:bidi/>
        <w:rPr>
          <w:rFonts w:ascii="mylotus" w:hAnsi="mylotus"/>
          <w:b/>
          <w:bCs/>
          <w:sz w:val="34"/>
          <w:szCs w:val="34"/>
          <w:rtl/>
        </w:rPr>
      </w:pPr>
      <w:r w:rsidRPr="0008341C">
        <w:rPr>
          <w:rFonts w:ascii="mylotus" w:hAnsi="mylotus"/>
          <w:b/>
          <w:bCs/>
          <w:sz w:val="34"/>
          <w:szCs w:val="34"/>
          <w:rtl/>
          <w:lang w:bidi="ar-BH"/>
        </w:rPr>
        <w:t>المحذور الثاني في الرافعة الماليّة: الجمع بين السلف والبيع</w:t>
      </w:r>
    </w:p>
    <w:p w14:paraId="0E9408C5"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وهو من مصاديق المنهيّ عنه في قوله (صلّى الله عليه وآله): "نهى النبيّ عن سلفٍ وبيع". حيث إنّ البنك الاستثماريّ يقوم بمعاملتين: الأولى هي التداول في بيع الأسهم وشرائها، والثانية هي الإقراض -بناء على بعض التحليلات للمعاملة-، فهو يجمع بين الإقراض وتداول </w:t>
      </w:r>
      <w:r w:rsidRPr="007C659F">
        <w:rPr>
          <w:rFonts w:ascii="mylotus" w:hAnsi="mylotus"/>
          <w:sz w:val="34"/>
          <w:szCs w:val="34"/>
          <w:rtl/>
        </w:rPr>
        <w:t>الأسهم لعميلٍ</w:t>
      </w:r>
      <w:r w:rsidRPr="007C659F">
        <w:rPr>
          <w:rFonts w:ascii="mylotus" w:hAnsi="mylotus"/>
          <w:sz w:val="34"/>
          <w:szCs w:val="34"/>
          <w:rtl/>
          <w:lang w:bidi="ar-BH"/>
        </w:rPr>
        <w:t xml:space="preserve"> واحد.</w:t>
      </w:r>
    </w:p>
    <w:p w14:paraId="6021314D"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ومن أجل تحقيق المطلب، لا بدّ من ذكر أمورٍ في المقام: (الأول) في سند الحديث ودلالته، و(الثاني) في صحّة المعاملة على ضوء القواعد، و(الثالث) في تطبيق ذلك على الرافعة الماليّة.</w:t>
      </w:r>
    </w:p>
    <w:p w14:paraId="746D389A"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الأمر الأوّل: سند الحديث ودلالته</w:t>
      </w:r>
    </w:p>
    <w:p w14:paraId="1D215FC9"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إنّ حديث: "نهى النبيّ عن سلفٍ وبيع" واردٌ من طرق العامّة والخاصّة، أما من جهة الخاصّة فقد ورد بطريقٍ معتبر، كما في التهذيب بسند تام، قال: وبإسناده -يقصد محمّد بن يعقوب-، عن أحمد بن محمّد، عن محمّد بن الحسين، عن عليّ بن أسباط، عن سليمان بن صالح، عن أبي عبد الله (عليه السلام)، قال: "نهى رسول الله (صلّى الله عليه وآله) عن سلفٍ وبيع، وعن بيعين في بيع، وعن بيع ما ليس عندك، وعن ربح ما لم يضمن"</w:t>
      </w:r>
      <w:r w:rsidRPr="007C659F">
        <w:rPr>
          <w:rFonts w:ascii="mylotus" w:hAnsi="mylotus"/>
          <w:sz w:val="34"/>
          <w:szCs w:val="34"/>
          <w:vertAlign w:val="superscript"/>
          <w:rtl/>
        </w:rPr>
        <w:t>(</w:t>
      </w:r>
      <w:r w:rsidRPr="007C659F">
        <w:rPr>
          <w:rStyle w:val="ac"/>
          <w:rFonts w:ascii="mylotus" w:hAnsi="mylotus"/>
          <w:sz w:val="34"/>
          <w:szCs w:val="34"/>
          <w:rtl/>
        </w:rPr>
        <w:footnoteReference w:id="1"/>
      </w:r>
      <w:r w:rsidRPr="007C659F">
        <w:rPr>
          <w:rFonts w:ascii="mylotus" w:hAnsi="mylotus"/>
          <w:sz w:val="34"/>
          <w:szCs w:val="34"/>
          <w:vertAlign w:val="superscript"/>
          <w:rtl/>
        </w:rPr>
        <w:t>)</w:t>
      </w:r>
      <w:r w:rsidRPr="007C659F">
        <w:rPr>
          <w:rFonts w:ascii="mylotus" w:hAnsi="mylotus"/>
          <w:sz w:val="34"/>
          <w:szCs w:val="34"/>
          <w:rtl/>
          <w:lang w:bidi="ar-BH"/>
        </w:rPr>
        <w:t xml:space="preserve">، ومحلّ الكلام في الفقرة الأولى: "نهى </w:t>
      </w:r>
      <w:r w:rsidRPr="007C659F">
        <w:rPr>
          <w:rFonts w:ascii="mylotus" w:hAnsi="mylotus"/>
          <w:sz w:val="34"/>
          <w:szCs w:val="34"/>
          <w:rtl/>
        </w:rPr>
        <w:t xml:space="preserve">رسول الله (ص) </w:t>
      </w:r>
      <w:r w:rsidRPr="007C659F">
        <w:rPr>
          <w:rFonts w:ascii="mylotus" w:hAnsi="mylotus"/>
          <w:sz w:val="34"/>
          <w:szCs w:val="34"/>
          <w:rtl/>
          <w:lang w:bidi="ar-BH"/>
        </w:rPr>
        <w:t>عن سلفٍ وبيع"، فهو من ناحية السند لا إشكال فيه.</w:t>
      </w:r>
    </w:p>
    <w:p w14:paraId="246474F8"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ولكن الكلام في الدلالة، فقد اختلف العامّة في تفسير هذه الفقرة "سلف وبيع" على وجوهٍ ثلاثة:</w:t>
      </w:r>
    </w:p>
    <w:p w14:paraId="3CE8047E" w14:textId="77777777" w:rsidR="007C659F" w:rsidRPr="007C659F" w:rsidRDefault="007C659F" w:rsidP="007C659F">
      <w:pPr>
        <w:pStyle w:val="a0"/>
        <w:bidi/>
        <w:rPr>
          <w:rFonts w:ascii="mylotus" w:hAnsi="mylotus"/>
          <w:sz w:val="34"/>
          <w:szCs w:val="34"/>
          <w:rtl/>
        </w:rPr>
      </w:pPr>
      <w:r w:rsidRPr="0008341C">
        <w:rPr>
          <w:rFonts w:ascii="mylotus" w:hAnsi="mylotus"/>
          <w:b/>
          <w:bCs/>
          <w:sz w:val="34"/>
          <w:szCs w:val="34"/>
          <w:rtl/>
          <w:lang w:bidi="ar-BH"/>
        </w:rPr>
        <w:t>الوجه الأوّل:</w:t>
      </w:r>
      <w:r w:rsidRPr="007C659F">
        <w:rPr>
          <w:rFonts w:ascii="mylotus" w:hAnsi="mylotus"/>
          <w:sz w:val="34"/>
          <w:szCs w:val="34"/>
          <w:rtl/>
          <w:lang w:bidi="ar-BH"/>
        </w:rPr>
        <w:t xml:space="preserve"> البيع بشرط القرض، وذلك بأن تبيع سلعةً وتقول لمن اشتراها: بعتك هذه السلعة على أن تسلفني مبلغ كذا.</w:t>
      </w:r>
    </w:p>
    <w:p w14:paraId="2C012AAB" w14:textId="77777777" w:rsidR="007C659F" w:rsidRPr="007C659F" w:rsidRDefault="007C659F" w:rsidP="007C659F">
      <w:pPr>
        <w:pStyle w:val="a0"/>
        <w:bidi/>
        <w:rPr>
          <w:rFonts w:ascii="mylotus" w:hAnsi="mylotus"/>
          <w:sz w:val="34"/>
          <w:szCs w:val="34"/>
          <w:rtl/>
        </w:rPr>
      </w:pPr>
      <w:r w:rsidRPr="0008341C">
        <w:rPr>
          <w:rFonts w:ascii="mylotus" w:hAnsi="mylotus"/>
          <w:b/>
          <w:bCs/>
          <w:sz w:val="34"/>
          <w:szCs w:val="34"/>
          <w:rtl/>
          <w:lang w:bidi="ar-BH"/>
        </w:rPr>
        <w:lastRenderedPageBreak/>
        <w:t>الوجه الثاني:</w:t>
      </w:r>
      <w:r w:rsidRPr="007C659F">
        <w:rPr>
          <w:rFonts w:ascii="mylotus" w:hAnsi="mylotus"/>
          <w:sz w:val="34"/>
          <w:szCs w:val="34"/>
          <w:rtl/>
          <w:lang w:bidi="ar-BH"/>
        </w:rPr>
        <w:t xml:space="preserve"> أن تقرضه ثمّ تبيع منه شيئًا بأكثر من ثمنه، كأن تقول: أقرضك ألفًا من دون فائدة</w:t>
      </w:r>
      <w:r w:rsidRPr="007C659F">
        <w:rPr>
          <w:rFonts w:ascii="mylotus" w:hAnsi="mylotus"/>
          <w:sz w:val="34"/>
          <w:szCs w:val="34"/>
          <w:rtl/>
        </w:rPr>
        <w:t xml:space="preserve">، </w:t>
      </w:r>
      <w:r w:rsidRPr="007C659F">
        <w:rPr>
          <w:rFonts w:ascii="mylotus" w:hAnsi="mylotus"/>
          <w:sz w:val="34"/>
          <w:szCs w:val="34"/>
          <w:rtl/>
          <w:lang w:bidi="ar-BH"/>
        </w:rPr>
        <w:t>وأبيعك هذه السلعة التي تسوى ألفًا بألفٍ ونصف ولو نسيئةً. وكلتا الصورتين بنظر العامّة -سواء كان بيعًا بشرط القرض أو قرضًا مع البيع- مما يدخل في الربا؛ لأنّه قرضٌ جرّ نفعًا.</w:t>
      </w:r>
    </w:p>
    <w:p w14:paraId="43CEB43E" w14:textId="77777777" w:rsidR="007C659F" w:rsidRPr="007C659F" w:rsidRDefault="007C659F" w:rsidP="007C659F">
      <w:pPr>
        <w:pStyle w:val="a0"/>
        <w:bidi/>
        <w:rPr>
          <w:rFonts w:ascii="mylotus" w:hAnsi="mylotus"/>
          <w:sz w:val="34"/>
          <w:szCs w:val="34"/>
          <w:rtl/>
        </w:rPr>
      </w:pPr>
      <w:r w:rsidRPr="0008341C">
        <w:rPr>
          <w:rFonts w:ascii="mylotus" w:hAnsi="mylotus"/>
          <w:b/>
          <w:bCs/>
          <w:sz w:val="34"/>
          <w:szCs w:val="34"/>
          <w:rtl/>
          <w:lang w:bidi="ar-BH"/>
        </w:rPr>
        <w:t>الوجه الثالث:</w:t>
      </w:r>
      <w:r w:rsidRPr="007C659F">
        <w:rPr>
          <w:rFonts w:ascii="mylotus" w:hAnsi="mylotus"/>
          <w:sz w:val="34"/>
          <w:szCs w:val="34"/>
          <w:rtl/>
          <w:lang w:bidi="ar-BH"/>
        </w:rPr>
        <w:t xml:space="preserve"> كون المقصود بالسلف السَّلم، ويكون المعنى أن يُقرض شخصٌ ويُقال له: إن لم يتوفّر عندك سداده فهو بيعٌ عليك</w:t>
      </w:r>
      <w:r w:rsidRPr="007C659F">
        <w:rPr>
          <w:rFonts w:ascii="mylotus" w:hAnsi="mylotus"/>
          <w:sz w:val="34"/>
          <w:szCs w:val="34"/>
          <w:rtl/>
        </w:rPr>
        <w:t>،</w:t>
      </w:r>
      <w:r w:rsidRPr="007C659F">
        <w:rPr>
          <w:rFonts w:ascii="mylotus" w:hAnsi="mylotus"/>
          <w:sz w:val="34"/>
          <w:szCs w:val="34"/>
          <w:rtl/>
          <w:lang w:bidi="ar-BH"/>
        </w:rPr>
        <w:t xml:space="preserve"> أي يكون ثمنا من قبل المقرض لسلعة من قبل المقترض</w:t>
      </w:r>
      <w:r w:rsidRPr="007C659F">
        <w:rPr>
          <w:rFonts w:ascii="mylotus" w:hAnsi="mylotus"/>
          <w:sz w:val="34"/>
          <w:szCs w:val="34"/>
          <w:rtl/>
        </w:rPr>
        <w:t>.</w:t>
      </w:r>
    </w:p>
    <w:p w14:paraId="6BE58B5B"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وقد تعرّض بعض </w:t>
      </w:r>
      <w:r w:rsidRPr="007C659F">
        <w:rPr>
          <w:rFonts w:ascii="mylotus" w:hAnsi="mylotus"/>
          <w:sz w:val="34"/>
          <w:szCs w:val="34"/>
          <w:rtl/>
        </w:rPr>
        <w:t>الأجلاء</w:t>
      </w:r>
      <w:r w:rsidRPr="007C659F">
        <w:rPr>
          <w:rFonts w:ascii="mylotus" w:hAnsi="mylotus"/>
          <w:sz w:val="34"/>
          <w:szCs w:val="34"/>
          <w:rtl/>
          <w:lang w:bidi="ar-BH"/>
        </w:rPr>
        <w:t xml:space="preserve"> (حفظه الله) في كتابه </w:t>
      </w:r>
      <w:r w:rsidRPr="007C659F">
        <w:rPr>
          <w:rFonts w:ascii="mylotus" w:hAnsi="mylotus"/>
          <w:sz w:val="34"/>
          <w:szCs w:val="34"/>
          <w:rtl/>
        </w:rPr>
        <w:t>البيع</w:t>
      </w:r>
      <w:r w:rsidRPr="007C659F">
        <w:rPr>
          <w:rFonts w:ascii="mylotus" w:hAnsi="mylotus"/>
          <w:sz w:val="34"/>
          <w:szCs w:val="34"/>
          <w:vertAlign w:val="superscript"/>
          <w:rtl/>
        </w:rPr>
        <w:t>(</w:t>
      </w:r>
      <w:r w:rsidRPr="007C659F">
        <w:rPr>
          <w:rStyle w:val="ac"/>
          <w:rFonts w:ascii="mylotus" w:hAnsi="mylotus"/>
          <w:sz w:val="34"/>
          <w:szCs w:val="34"/>
          <w:rtl/>
        </w:rPr>
        <w:footnoteReference w:id="2"/>
      </w:r>
      <w:r w:rsidRPr="007C659F">
        <w:rPr>
          <w:rFonts w:ascii="mylotus" w:hAnsi="mylotus"/>
          <w:sz w:val="34"/>
          <w:szCs w:val="34"/>
          <w:vertAlign w:val="superscript"/>
          <w:rtl/>
        </w:rPr>
        <w:t>)</w:t>
      </w:r>
      <w:r w:rsidRPr="007C659F">
        <w:rPr>
          <w:rFonts w:ascii="mylotus" w:hAnsi="mylotus"/>
          <w:sz w:val="34"/>
          <w:szCs w:val="34"/>
          <w:rtl/>
          <w:lang w:bidi="ar-BH"/>
        </w:rPr>
        <w:t xml:space="preserve"> لهذه الرواية، وذكر وجهًا رابعًا في مدلولها، وهو: كون البيع بنحوين بثمنين</w:t>
      </w:r>
      <w:r w:rsidRPr="007C659F">
        <w:rPr>
          <w:rFonts w:ascii="mylotus" w:hAnsi="mylotus"/>
          <w:sz w:val="34"/>
          <w:szCs w:val="34"/>
          <w:rtl/>
        </w:rPr>
        <w:t>،</w:t>
      </w:r>
      <w:r w:rsidRPr="007C659F">
        <w:rPr>
          <w:rFonts w:ascii="mylotus" w:hAnsi="mylotus"/>
          <w:sz w:val="34"/>
          <w:szCs w:val="34"/>
          <w:rtl/>
          <w:lang w:bidi="ar-BH"/>
        </w:rPr>
        <w:t xml:space="preserve"> كأن يقول البائع للمشتري: بعتك هذه السلعة نقدًا بألف أو نسيئةً بألفين.</w:t>
      </w:r>
      <w:r w:rsidRPr="007C659F">
        <w:rPr>
          <w:rFonts w:ascii="mylotus" w:hAnsi="mylotus"/>
          <w:sz w:val="34"/>
          <w:szCs w:val="34"/>
          <w:rtl/>
        </w:rPr>
        <w:t xml:space="preserve"> </w:t>
      </w:r>
      <w:r w:rsidRPr="007C659F">
        <w:rPr>
          <w:rFonts w:ascii="mylotus" w:hAnsi="mylotus"/>
          <w:sz w:val="34"/>
          <w:szCs w:val="34"/>
          <w:rtl/>
          <w:lang w:bidi="ar-BH"/>
        </w:rPr>
        <w:t xml:space="preserve">ولكنّ هذا التفسير هو الأنسب بالفقرة الثانية، في قوله </w:t>
      </w:r>
      <w:r w:rsidRPr="007C659F">
        <w:rPr>
          <w:rFonts w:ascii="mylotus" w:hAnsi="mylotus"/>
          <w:sz w:val="34"/>
          <w:szCs w:val="34"/>
          <w:rtl/>
        </w:rPr>
        <w:t>(</w:t>
      </w:r>
      <w:r w:rsidRPr="007C659F">
        <w:rPr>
          <w:rFonts w:ascii="mylotus" w:hAnsi="mylotus"/>
          <w:sz w:val="34"/>
          <w:szCs w:val="34"/>
          <w:rtl/>
          <w:lang w:bidi="ar-BH"/>
        </w:rPr>
        <w:t>ع</w:t>
      </w:r>
      <w:r w:rsidRPr="007C659F">
        <w:rPr>
          <w:rFonts w:ascii="mylotus" w:hAnsi="mylotus"/>
          <w:sz w:val="34"/>
          <w:szCs w:val="34"/>
          <w:rtl/>
        </w:rPr>
        <w:t>ليه السلام)</w:t>
      </w:r>
      <w:r w:rsidRPr="007C659F">
        <w:rPr>
          <w:rFonts w:ascii="mylotus" w:hAnsi="mylotus"/>
          <w:sz w:val="34"/>
          <w:szCs w:val="34"/>
          <w:rtl/>
          <w:lang w:bidi="ar-BH"/>
        </w:rPr>
        <w:t xml:space="preserve">: "نهى </w:t>
      </w:r>
      <w:r w:rsidRPr="007C659F">
        <w:rPr>
          <w:rFonts w:ascii="mylotus" w:hAnsi="mylotus"/>
          <w:sz w:val="34"/>
          <w:szCs w:val="34"/>
          <w:rtl/>
        </w:rPr>
        <w:t xml:space="preserve">رسول الله (صلى الله عليه وآله) </w:t>
      </w:r>
      <w:r w:rsidRPr="007C659F">
        <w:rPr>
          <w:rFonts w:ascii="mylotus" w:hAnsi="mylotus"/>
          <w:sz w:val="34"/>
          <w:szCs w:val="34"/>
          <w:rtl/>
          <w:lang w:bidi="ar-BH"/>
        </w:rPr>
        <w:t>عن سلفٍ وبيع، وعن بيعين في بيع"</w:t>
      </w:r>
      <w:r w:rsidRPr="007C659F">
        <w:rPr>
          <w:rFonts w:ascii="mylotus" w:hAnsi="mylotus"/>
          <w:sz w:val="34"/>
          <w:szCs w:val="34"/>
          <w:rtl/>
        </w:rPr>
        <w:t>،</w:t>
      </w:r>
      <w:r w:rsidRPr="007C659F">
        <w:rPr>
          <w:rFonts w:ascii="mylotus" w:hAnsi="mylotus"/>
          <w:sz w:val="34"/>
          <w:szCs w:val="34"/>
          <w:rtl/>
          <w:lang w:bidi="ar-BH"/>
        </w:rPr>
        <w:t xml:space="preserve"> كما ذكر ذلك المعلّق على التهذيب (طبعة دار الكتب الإسلاميّة)، حيث شرح الفقرة الثانية "وعن بيعين في بيع" بهذا النحو.</w:t>
      </w:r>
    </w:p>
    <w:p w14:paraId="60202448"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والأقرب من هذه التفسيرات لقوله (</w:t>
      </w:r>
      <w:r w:rsidRPr="007C659F">
        <w:rPr>
          <w:rFonts w:ascii="mylotus" w:hAnsi="mylotus"/>
          <w:sz w:val="34"/>
          <w:szCs w:val="34"/>
          <w:rtl/>
        </w:rPr>
        <w:t>عليه السلام</w:t>
      </w:r>
      <w:r w:rsidRPr="007C659F">
        <w:rPr>
          <w:rFonts w:ascii="mylotus" w:hAnsi="mylotus"/>
          <w:sz w:val="34"/>
          <w:szCs w:val="34"/>
          <w:rtl/>
          <w:lang w:bidi="ar-BH"/>
        </w:rPr>
        <w:t xml:space="preserve">): "نهى </w:t>
      </w:r>
      <w:r w:rsidRPr="007C659F">
        <w:rPr>
          <w:rFonts w:ascii="mylotus" w:hAnsi="mylotus"/>
          <w:sz w:val="34"/>
          <w:szCs w:val="34"/>
          <w:rtl/>
        </w:rPr>
        <w:t xml:space="preserve">رسول الله (صلى الله عليه وآله) </w:t>
      </w:r>
      <w:r w:rsidRPr="007C659F">
        <w:rPr>
          <w:rFonts w:ascii="mylotus" w:hAnsi="mylotus"/>
          <w:sz w:val="34"/>
          <w:szCs w:val="34"/>
          <w:rtl/>
          <w:lang w:bidi="ar-BH"/>
        </w:rPr>
        <w:t xml:space="preserve">عن سلفٍ وبيع" </w:t>
      </w:r>
      <w:r w:rsidRPr="007C659F">
        <w:rPr>
          <w:rFonts w:ascii="mylotus" w:hAnsi="mylotus"/>
          <w:sz w:val="34"/>
          <w:szCs w:val="34"/>
          <w:rtl/>
        </w:rPr>
        <w:t>-</w:t>
      </w:r>
      <w:r w:rsidRPr="007C659F">
        <w:rPr>
          <w:rFonts w:ascii="mylotus" w:hAnsi="mylotus"/>
          <w:sz w:val="34"/>
          <w:szCs w:val="34"/>
          <w:rtl/>
          <w:lang w:bidi="ar-BH"/>
        </w:rPr>
        <w:t>وإن لم تقم قرينة على تعينه</w:t>
      </w:r>
      <w:r w:rsidRPr="007C659F">
        <w:rPr>
          <w:rFonts w:ascii="mylotus" w:hAnsi="mylotus"/>
          <w:sz w:val="34"/>
          <w:szCs w:val="34"/>
          <w:rtl/>
        </w:rPr>
        <w:t>-</w:t>
      </w:r>
      <w:r w:rsidRPr="007C659F">
        <w:rPr>
          <w:rFonts w:ascii="mylotus" w:hAnsi="mylotus"/>
          <w:sz w:val="34"/>
          <w:szCs w:val="34"/>
          <w:rtl/>
          <w:lang w:bidi="ar-BH"/>
        </w:rPr>
        <w:t xml:space="preserve"> هو الجمع بين القرض والبيع في معاملةٍ واحدة تؤدّي لنتيجة الربا سواء كان بيعا بشرط القرض أو العكس، كأن يبيعه السلعة بأكثر من ثمنها ويقرضه مبلغًا، فيقول: أبيعك هذه السلعة التي تسوى ألفًا بألفين مؤجّلاً، وأقرضك مبلغًا كما هو، فيكون قد حصل على نتيجة الربا بهذه الطريقة. أو يقرضه مبلغًا من دون فائدة ويشتري منه سلعةً بأقلّ من ثمنها، فيكون البائع هو المستفيد بالنتيجة.</w:t>
      </w:r>
    </w:p>
    <w:p w14:paraId="4C1CD2AB" w14:textId="77777777" w:rsidR="007C659F" w:rsidRPr="0008341C" w:rsidRDefault="007C659F" w:rsidP="007C659F">
      <w:pPr>
        <w:pStyle w:val="a0"/>
        <w:bidi/>
        <w:rPr>
          <w:rFonts w:ascii="mylotus" w:hAnsi="mylotus"/>
          <w:b/>
          <w:bCs/>
          <w:sz w:val="34"/>
          <w:szCs w:val="34"/>
          <w:rtl/>
        </w:rPr>
      </w:pPr>
      <w:r w:rsidRPr="0008341C">
        <w:rPr>
          <w:rFonts w:ascii="mylotus" w:hAnsi="mylotus"/>
          <w:b/>
          <w:bCs/>
          <w:sz w:val="34"/>
          <w:szCs w:val="34"/>
          <w:rtl/>
          <w:lang w:bidi="ar-BH"/>
        </w:rPr>
        <w:t>الأمر الثاني: في صحّة هذه المعاملة</w:t>
      </w:r>
    </w:p>
    <w:p w14:paraId="08CAD546"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إنّ المعاملة المحتملة كمدلولٍ للحديث النبويّ نوعان:</w:t>
      </w:r>
    </w:p>
    <w:p w14:paraId="6864882A" w14:textId="77777777" w:rsidR="007C659F" w:rsidRPr="007C659F" w:rsidRDefault="007C659F" w:rsidP="007C659F">
      <w:pPr>
        <w:pStyle w:val="a0"/>
        <w:bidi/>
        <w:rPr>
          <w:rFonts w:ascii="mylotus" w:hAnsi="mylotus"/>
          <w:sz w:val="34"/>
          <w:szCs w:val="34"/>
          <w:rtl/>
        </w:rPr>
      </w:pPr>
      <w:r w:rsidRPr="0008341C">
        <w:rPr>
          <w:rFonts w:ascii="mylotus" w:hAnsi="mylotus"/>
          <w:b/>
          <w:bCs/>
          <w:sz w:val="34"/>
          <w:szCs w:val="34"/>
          <w:rtl/>
          <w:lang w:bidi="ar-BH"/>
        </w:rPr>
        <w:t>النوع الأوّل:</w:t>
      </w:r>
      <w:r w:rsidRPr="007C659F">
        <w:rPr>
          <w:rFonts w:ascii="mylotus" w:hAnsi="mylotus"/>
          <w:sz w:val="34"/>
          <w:szCs w:val="34"/>
          <w:rtl/>
          <w:lang w:bidi="ar-BH"/>
        </w:rPr>
        <w:t xml:space="preserve"> الجمع بين القرض والبيع، ولا محذور في الجمع بينهما إذا لم يكن أحدهما شرطًا في الآخر، كأن يقول: أقرضك وأبيعك، أو أقرضك وأشتري منك</w:t>
      </w:r>
      <w:r w:rsidRPr="007C659F">
        <w:rPr>
          <w:rFonts w:ascii="mylotus" w:hAnsi="mylotus"/>
          <w:sz w:val="34"/>
          <w:szCs w:val="34"/>
          <w:rtl/>
        </w:rPr>
        <w:t>؛</w:t>
      </w:r>
      <w:r w:rsidRPr="007C659F">
        <w:rPr>
          <w:rFonts w:ascii="mylotus" w:hAnsi="mylotus"/>
          <w:sz w:val="34"/>
          <w:szCs w:val="34"/>
          <w:rtl/>
          <w:lang w:bidi="ar-BH"/>
        </w:rPr>
        <w:t xml:space="preserve"> بل المعاملة نافذة بمقتضى العمومات، كقوله تعالى: ﴿أَوْفُوا بِالْعُقُودِ﴾</w:t>
      </w:r>
      <w:r w:rsidRPr="007C659F">
        <w:rPr>
          <w:rFonts w:ascii="mylotus" w:hAnsi="mylotus"/>
          <w:sz w:val="34"/>
          <w:szCs w:val="34"/>
          <w:vertAlign w:val="superscript"/>
          <w:rtl/>
        </w:rPr>
        <w:t>(</w:t>
      </w:r>
      <w:r w:rsidRPr="007C659F">
        <w:rPr>
          <w:rStyle w:val="ac"/>
          <w:rFonts w:ascii="mylotus" w:hAnsi="mylotus"/>
          <w:sz w:val="34"/>
          <w:szCs w:val="34"/>
          <w:rtl/>
        </w:rPr>
        <w:footnoteReference w:id="3"/>
      </w:r>
      <w:r w:rsidRPr="007C659F">
        <w:rPr>
          <w:rFonts w:ascii="mylotus" w:hAnsi="mylotus"/>
          <w:sz w:val="34"/>
          <w:szCs w:val="34"/>
          <w:vertAlign w:val="superscript"/>
          <w:rtl/>
        </w:rPr>
        <w:t>)</w:t>
      </w:r>
      <w:r w:rsidRPr="007C659F">
        <w:rPr>
          <w:rFonts w:ascii="mylotus" w:hAnsi="mylotus"/>
          <w:sz w:val="34"/>
          <w:szCs w:val="34"/>
          <w:rtl/>
          <w:lang w:bidi="ar-BH"/>
        </w:rPr>
        <w:t>.</w:t>
      </w:r>
    </w:p>
    <w:p w14:paraId="73C893C3"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lastRenderedPageBreak/>
        <w:t xml:space="preserve">وإنّما المحذور في اشتراط القرض بالبيع، </w:t>
      </w:r>
      <w:r w:rsidRPr="007C659F">
        <w:rPr>
          <w:rFonts w:ascii="mylotus" w:hAnsi="mylotus"/>
          <w:sz w:val="34"/>
          <w:szCs w:val="34"/>
          <w:rtl/>
        </w:rPr>
        <w:t>ف</w:t>
      </w:r>
      <w:r w:rsidRPr="007C659F">
        <w:rPr>
          <w:rFonts w:ascii="mylotus" w:hAnsi="mylotus"/>
          <w:sz w:val="34"/>
          <w:szCs w:val="34"/>
          <w:rtl/>
          <w:lang w:bidi="ar-BH"/>
        </w:rPr>
        <w:t xml:space="preserve">قد يُقال: إن هذا هو المنطبق على معاملة الرافعة الماليّة، وذلك لأنّ الغرض الأهمّ لدى البنوك الاستثماريّة ليس في القرض، وإنّما الغرض الأهمّ عندها هو كون التداول في يدها، بلحاظ أنّ البنوك الاستثماريّة هي المصمّم لصناديق تداول الأسهم بيعًا وشراءً بغرض التوسعة في مجال الاستثمار، وأن تكون منصّات رئيسيّة تُقصد من قِبل المتداولين، والقرض طريقٌ لذلك، ومن الواضح أن القرض بشرط البيع معاملةٌ محرّمة؛ لأنه قرضٌ جرّ شيئًا فلا يصلح </w:t>
      </w:r>
      <w:r w:rsidRPr="007C659F">
        <w:rPr>
          <w:rFonts w:ascii="mylotus" w:hAnsi="mylotus"/>
          <w:sz w:val="34"/>
          <w:szCs w:val="34"/>
          <w:rtl/>
        </w:rPr>
        <w:t>-</w:t>
      </w:r>
      <w:r w:rsidRPr="007C659F">
        <w:rPr>
          <w:rFonts w:ascii="mylotus" w:hAnsi="mylotus"/>
          <w:sz w:val="34"/>
          <w:szCs w:val="34"/>
          <w:rtl/>
          <w:lang w:bidi="ar-BH"/>
        </w:rPr>
        <w:t>كما سبق الحديث عنه</w:t>
      </w:r>
      <w:r w:rsidRPr="007C659F">
        <w:rPr>
          <w:rFonts w:ascii="mylotus" w:hAnsi="mylotus"/>
          <w:sz w:val="34"/>
          <w:szCs w:val="34"/>
          <w:rtl/>
        </w:rPr>
        <w:t>-</w:t>
      </w:r>
      <w:r w:rsidRPr="007C659F">
        <w:rPr>
          <w:rFonts w:ascii="mylotus" w:hAnsi="mylotus"/>
          <w:sz w:val="34"/>
          <w:szCs w:val="34"/>
          <w:rtl/>
          <w:lang w:bidi="ar-BH"/>
        </w:rPr>
        <w:t>، غير أن هذا هو نفس المحذور السابق الذي تمّ البحث عنه وليس محذورًا جديدًا.</w:t>
      </w:r>
    </w:p>
    <w:p w14:paraId="70D99E3E"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وأمّا اشتراط البيع بالقرض أو الإجارة بشرط القرض، فقد أفتى كثيرٌ من الأعلام </w:t>
      </w:r>
      <w:r w:rsidRPr="007C659F">
        <w:rPr>
          <w:rFonts w:ascii="mylotus" w:hAnsi="mylotus"/>
          <w:sz w:val="34"/>
          <w:szCs w:val="34"/>
          <w:rtl/>
        </w:rPr>
        <w:t xml:space="preserve">فيه </w:t>
      </w:r>
      <w:r w:rsidRPr="007C659F">
        <w:rPr>
          <w:rFonts w:ascii="mylotus" w:hAnsi="mylotus"/>
          <w:sz w:val="34"/>
          <w:szCs w:val="34"/>
          <w:rtl/>
          <w:lang w:bidi="ar-BH"/>
        </w:rPr>
        <w:t xml:space="preserve">بصحّة المعاملة؛ </w:t>
      </w:r>
      <w:r w:rsidRPr="007C659F">
        <w:rPr>
          <w:rFonts w:ascii="mylotus" w:hAnsi="mylotus"/>
          <w:sz w:val="34"/>
          <w:szCs w:val="34"/>
          <w:rtl/>
        </w:rPr>
        <w:t xml:space="preserve">لعدم قيام </w:t>
      </w:r>
      <w:r w:rsidRPr="007C659F">
        <w:rPr>
          <w:rFonts w:ascii="mylotus" w:hAnsi="mylotus"/>
          <w:sz w:val="34"/>
          <w:szCs w:val="34"/>
          <w:rtl/>
          <w:lang w:bidi="ar-BH"/>
        </w:rPr>
        <w:t>دليل على المنع.</w:t>
      </w:r>
    </w:p>
    <w:p w14:paraId="67989AD8" w14:textId="5F9EB086" w:rsidR="007C659F" w:rsidRPr="007C659F" w:rsidRDefault="007C659F" w:rsidP="00285376">
      <w:pPr>
        <w:pStyle w:val="a0"/>
        <w:bidi/>
        <w:rPr>
          <w:rFonts w:ascii="mylotus" w:hAnsi="mylotus"/>
          <w:sz w:val="34"/>
          <w:szCs w:val="34"/>
          <w:rtl/>
        </w:rPr>
      </w:pPr>
      <w:r w:rsidRPr="007C659F">
        <w:rPr>
          <w:rFonts w:ascii="mylotus" w:hAnsi="mylotus"/>
          <w:sz w:val="34"/>
          <w:szCs w:val="34"/>
          <w:rtl/>
          <w:lang w:bidi="ar-BH"/>
        </w:rPr>
        <w:t>ولكن، لو بُني على كون المستفاد من الآية المباركة: ﴿فَإِن تُبْتُمْ فَلَكُمْ رُؤُوسُ أَمْوَالِكُمْ لَا تَظْلِمُونَ وَلَا تُظْلَمُونَ﴾</w:t>
      </w:r>
      <w:r w:rsidRPr="007C659F">
        <w:rPr>
          <w:rFonts w:ascii="mylotus" w:hAnsi="mylotus"/>
          <w:sz w:val="34"/>
          <w:szCs w:val="34"/>
          <w:vertAlign w:val="superscript"/>
          <w:rtl/>
        </w:rPr>
        <w:t>(</w:t>
      </w:r>
      <w:r w:rsidRPr="007C659F">
        <w:rPr>
          <w:rStyle w:val="ac"/>
          <w:rFonts w:ascii="mylotus" w:hAnsi="mylotus"/>
          <w:sz w:val="34"/>
          <w:szCs w:val="34"/>
          <w:rtl/>
        </w:rPr>
        <w:footnoteReference w:id="4"/>
      </w:r>
      <w:r w:rsidRPr="007C659F">
        <w:rPr>
          <w:rFonts w:ascii="mylotus" w:hAnsi="mylotus"/>
          <w:sz w:val="34"/>
          <w:szCs w:val="34"/>
          <w:vertAlign w:val="superscript"/>
          <w:rtl/>
        </w:rPr>
        <w:t>)</w:t>
      </w:r>
      <w:r w:rsidRPr="007C659F">
        <w:rPr>
          <w:rFonts w:ascii="mylotus" w:hAnsi="mylotus"/>
          <w:sz w:val="34"/>
          <w:szCs w:val="34"/>
          <w:rtl/>
          <w:lang w:bidi="ar-BH"/>
        </w:rPr>
        <w:t xml:space="preserve"> أنّ النهي عن الزيادة على رأس المال معلّلٌ بكون الزيادة على رأس المال ظلما، فَلا يبعد ما ذكره بعض الأكابر (قدّس سرّه) في كتاب البيع في حيل التخلّص من ا</w:t>
      </w:r>
      <w:r w:rsidR="00285376">
        <w:rPr>
          <w:rFonts w:ascii="mylotus" w:hAnsi="mylotus"/>
          <w:sz w:val="34"/>
          <w:szCs w:val="34"/>
          <w:rtl/>
          <w:lang w:bidi="ar-BH"/>
        </w:rPr>
        <w:t>لربا من دخول المعاملة في الربا،</w:t>
      </w:r>
      <w:r w:rsidRPr="007C659F">
        <w:rPr>
          <w:rFonts w:ascii="mylotus" w:hAnsi="mylotus"/>
          <w:sz w:val="34"/>
          <w:szCs w:val="34"/>
          <w:rtl/>
          <w:lang w:bidi="ar-BH"/>
        </w:rPr>
        <w:t xml:space="preserve"> إذ لا فرق بحسب المرتكز العقلائي في المحذور بين القرض بشرط الإجارة أو الإجارة بشرط القرض، والبيع بشرط القرض أو القرض بشرط البيع؛ فإنه</w:t>
      </w:r>
      <w:r w:rsidR="00285376">
        <w:rPr>
          <w:rFonts w:ascii="mylotus" w:hAnsi="mylotus"/>
          <w:sz w:val="34"/>
          <w:szCs w:val="34"/>
          <w:rtl/>
          <w:lang w:bidi="ar-BH"/>
        </w:rPr>
        <w:t xml:space="preserve"> إذا كان القرض بشرط البيع ظلمًا</w:t>
      </w:r>
      <w:r w:rsidRPr="007C659F">
        <w:rPr>
          <w:rFonts w:ascii="mylotus" w:hAnsi="mylotus"/>
          <w:sz w:val="34"/>
          <w:szCs w:val="34"/>
          <w:rtl/>
          <w:lang w:bidi="ar-BH"/>
        </w:rPr>
        <w:t xml:space="preserve"> لاشتماله على الزيادة فالبيع</w:t>
      </w:r>
      <w:r w:rsidR="00285376">
        <w:rPr>
          <w:rFonts w:ascii="mylotus" w:hAnsi="mylotus" w:hint="cs"/>
          <w:sz w:val="34"/>
          <w:szCs w:val="34"/>
          <w:rtl/>
          <w:lang w:bidi="ar-BH"/>
        </w:rPr>
        <w:t>،</w:t>
      </w:r>
      <w:bookmarkStart w:id="0" w:name="_GoBack"/>
      <w:bookmarkEnd w:id="0"/>
      <w:r w:rsidRPr="007C659F">
        <w:rPr>
          <w:rFonts w:ascii="mylotus" w:hAnsi="mylotus"/>
          <w:sz w:val="34"/>
          <w:szCs w:val="34"/>
          <w:rtl/>
          <w:lang w:bidi="ar-BH"/>
        </w:rPr>
        <w:t xml:space="preserve"> بشرط القرض ظلمٌ بنفس العلة.</w:t>
      </w:r>
    </w:p>
    <w:p w14:paraId="64794714" w14:textId="78FEA8B9" w:rsidR="007C659F" w:rsidRPr="007C659F" w:rsidRDefault="00797282" w:rsidP="007C659F">
      <w:pPr>
        <w:pStyle w:val="a0"/>
        <w:bidi/>
        <w:rPr>
          <w:rFonts w:ascii="mylotus" w:hAnsi="mylotus"/>
          <w:sz w:val="34"/>
          <w:szCs w:val="34"/>
          <w:rtl/>
        </w:rPr>
      </w:pPr>
      <w:r>
        <w:rPr>
          <w:rFonts w:ascii="mylotus" w:hAnsi="mylotus" w:hint="cs"/>
          <w:b/>
          <w:bCs/>
          <w:sz w:val="34"/>
          <w:szCs w:val="34"/>
          <w:rtl/>
          <w:lang w:bidi="ar-BH"/>
        </w:rPr>
        <w:t>النوع</w:t>
      </w:r>
      <w:r w:rsidR="007C659F" w:rsidRPr="0008341C">
        <w:rPr>
          <w:rFonts w:ascii="mylotus" w:hAnsi="mylotus"/>
          <w:b/>
          <w:bCs/>
          <w:sz w:val="34"/>
          <w:szCs w:val="34"/>
          <w:rtl/>
          <w:lang w:bidi="ar-BH"/>
        </w:rPr>
        <w:t xml:space="preserve"> الثاني:</w:t>
      </w:r>
      <w:r w:rsidR="007C659F" w:rsidRPr="007C659F">
        <w:rPr>
          <w:rFonts w:ascii="mylotus" w:hAnsi="mylotus"/>
          <w:sz w:val="34"/>
          <w:szCs w:val="34"/>
          <w:rtl/>
          <w:lang w:bidi="ar-BH"/>
        </w:rPr>
        <w:t xml:space="preserve"> البيع الواحد بنحوين، كأن يقول له: أبيعك السلعة نقدًا بألف ومؤجّلاً بألفين. وقد وقع البحث في صحّة هذه المعاملة من وجوه:</w:t>
      </w:r>
    </w:p>
    <w:p w14:paraId="1BA8B8B6" w14:textId="77777777" w:rsidR="007C659F" w:rsidRPr="007C659F" w:rsidRDefault="007C659F" w:rsidP="007C659F">
      <w:pPr>
        <w:pStyle w:val="a0"/>
        <w:bidi/>
        <w:rPr>
          <w:rFonts w:ascii="mylotus" w:hAnsi="mylotus"/>
          <w:sz w:val="34"/>
          <w:szCs w:val="34"/>
          <w:rtl/>
        </w:rPr>
      </w:pPr>
      <w:r w:rsidRPr="0008341C">
        <w:rPr>
          <w:rFonts w:ascii="mylotus" w:hAnsi="mylotus"/>
          <w:b/>
          <w:bCs/>
          <w:sz w:val="34"/>
          <w:szCs w:val="34"/>
          <w:rtl/>
          <w:lang w:bidi="ar-BH"/>
        </w:rPr>
        <w:t>الوجه الأوّل:</w:t>
      </w:r>
      <w:r w:rsidRPr="007C659F">
        <w:rPr>
          <w:rFonts w:ascii="mylotus" w:hAnsi="mylotus"/>
          <w:sz w:val="34"/>
          <w:szCs w:val="34"/>
          <w:rtl/>
          <w:lang w:bidi="ar-BH"/>
        </w:rPr>
        <w:t xml:space="preserve"> دعوى الغرر، لأنّ الثمن مجهولٌ حيث لم يعين. ولكنّ المختار في كتاب البيع أنّ الغرر المبطل للمعاوضة هو الغرر بمعنى الخطر الماليّ لا بمعنى الجهالة</w:t>
      </w:r>
      <w:r w:rsidRPr="007C659F">
        <w:rPr>
          <w:rFonts w:ascii="mylotus" w:hAnsi="mylotus"/>
          <w:sz w:val="34"/>
          <w:szCs w:val="34"/>
          <w:rtl/>
        </w:rPr>
        <w:t>،</w:t>
      </w:r>
      <w:r w:rsidRPr="007C659F">
        <w:rPr>
          <w:rFonts w:ascii="mylotus" w:hAnsi="mylotus"/>
          <w:sz w:val="34"/>
          <w:szCs w:val="34"/>
          <w:rtl/>
          <w:lang w:bidi="ar-BH"/>
        </w:rPr>
        <w:t xml:space="preserve"> كما ذكره المدققون من علماء اللغة، ولا</w:t>
      </w:r>
      <w:r w:rsidRPr="007C659F">
        <w:rPr>
          <w:rFonts w:ascii="mylotus" w:hAnsi="mylotus"/>
          <w:sz w:val="34"/>
          <w:szCs w:val="34"/>
          <w:rtl/>
        </w:rPr>
        <w:t xml:space="preserve"> </w:t>
      </w:r>
      <w:r w:rsidRPr="007C659F">
        <w:rPr>
          <w:rFonts w:ascii="mylotus" w:hAnsi="mylotus"/>
          <w:sz w:val="34"/>
          <w:szCs w:val="34"/>
          <w:rtl/>
          <w:lang w:bidi="ar-BH"/>
        </w:rPr>
        <w:t>خطر ماليّ في مثل هذه المعاملة: "أبيعك هذه السلعة نقدًا بألف أو مؤجّلاً بألفين"، حيث إن اختيار أحدهما بيد المشتري.</w:t>
      </w:r>
    </w:p>
    <w:p w14:paraId="32C2EDEB" w14:textId="77777777" w:rsidR="007C659F" w:rsidRPr="007C659F" w:rsidRDefault="007C659F" w:rsidP="007C659F">
      <w:pPr>
        <w:pStyle w:val="a0"/>
        <w:bidi/>
        <w:rPr>
          <w:rFonts w:ascii="mylotus" w:hAnsi="mylotus"/>
          <w:sz w:val="34"/>
          <w:szCs w:val="34"/>
          <w:rtl/>
        </w:rPr>
      </w:pPr>
      <w:r w:rsidRPr="0008341C">
        <w:rPr>
          <w:rFonts w:ascii="mylotus" w:hAnsi="mylotus"/>
          <w:b/>
          <w:bCs/>
          <w:sz w:val="34"/>
          <w:szCs w:val="34"/>
          <w:rtl/>
          <w:lang w:bidi="ar-BH"/>
        </w:rPr>
        <w:lastRenderedPageBreak/>
        <w:t>الوجه الثاني:</w:t>
      </w:r>
      <w:r w:rsidRPr="007C659F">
        <w:rPr>
          <w:rFonts w:ascii="mylotus" w:hAnsi="mylotus"/>
          <w:sz w:val="34"/>
          <w:szCs w:val="34"/>
          <w:rtl/>
          <w:lang w:bidi="ar-BH"/>
        </w:rPr>
        <w:t xml:space="preserve"> ما ذُكر في موسوعة سيّدنا الخوئيّ (قدّس سرّه) في كتاب الإجارة</w:t>
      </w:r>
      <w:r w:rsidRPr="007C659F">
        <w:rPr>
          <w:rFonts w:ascii="mylotus" w:hAnsi="mylotus"/>
          <w:sz w:val="34"/>
          <w:szCs w:val="34"/>
          <w:vertAlign w:val="superscript"/>
          <w:rtl/>
        </w:rPr>
        <w:t>(</w:t>
      </w:r>
      <w:r w:rsidRPr="007C659F">
        <w:rPr>
          <w:rStyle w:val="ac"/>
          <w:rFonts w:ascii="mylotus" w:hAnsi="mylotus"/>
          <w:sz w:val="34"/>
          <w:szCs w:val="34"/>
          <w:rtl/>
        </w:rPr>
        <w:footnoteReference w:id="5"/>
      </w:r>
      <w:r w:rsidRPr="007C659F">
        <w:rPr>
          <w:rFonts w:ascii="mylotus" w:hAnsi="mylotus"/>
          <w:sz w:val="34"/>
          <w:szCs w:val="34"/>
          <w:vertAlign w:val="superscript"/>
          <w:rtl/>
        </w:rPr>
        <w:t>)</w:t>
      </w:r>
      <w:r w:rsidRPr="007C659F">
        <w:rPr>
          <w:rFonts w:ascii="mylotus" w:hAnsi="mylotus"/>
          <w:sz w:val="34"/>
          <w:szCs w:val="34"/>
          <w:rtl/>
          <w:lang w:bidi="ar-BH"/>
        </w:rPr>
        <w:t xml:space="preserve">، عند التعليق على عبارة العروة: "وكذا الحال إذا قال: إن عملتَ العمل الفلانيّ اليوم </w:t>
      </w:r>
      <w:r w:rsidRPr="007C659F">
        <w:rPr>
          <w:rFonts w:ascii="mylotus" w:hAnsi="mylotus"/>
          <w:sz w:val="34"/>
          <w:szCs w:val="34"/>
          <w:rtl/>
        </w:rPr>
        <w:t xml:space="preserve">في </w:t>
      </w:r>
      <w:r w:rsidRPr="007C659F">
        <w:rPr>
          <w:rFonts w:ascii="mylotus" w:hAnsi="mylotus"/>
          <w:sz w:val="34"/>
          <w:szCs w:val="34"/>
          <w:rtl/>
          <w:lang w:bidi="ar-BH"/>
        </w:rPr>
        <w:t xml:space="preserve">هذا اليوم فلك درهمان، وإن </w:t>
      </w:r>
      <w:r w:rsidRPr="007C659F">
        <w:rPr>
          <w:rFonts w:ascii="mylotus" w:hAnsi="mylotus"/>
          <w:sz w:val="34"/>
          <w:szCs w:val="34"/>
          <w:rtl/>
        </w:rPr>
        <w:t xml:space="preserve">عملته في الغد </w:t>
      </w:r>
      <w:r w:rsidRPr="007C659F">
        <w:rPr>
          <w:rFonts w:ascii="mylotus" w:hAnsi="mylotus"/>
          <w:sz w:val="34"/>
          <w:szCs w:val="34"/>
          <w:rtl/>
          <w:lang w:bidi="ar-BH"/>
        </w:rPr>
        <w:t>فلك درهم [ففي الغد يصير أقلّ لأنّك أخّرتني]". وحاصله: إنّ متعلّق المعاوضة إمّا المجموع، أو أحدهما المعيّن، أو أحدهما المردّد، ولا</w:t>
      </w:r>
      <w:r w:rsidRPr="007C659F">
        <w:rPr>
          <w:rFonts w:ascii="mylotus" w:hAnsi="mylotus"/>
          <w:sz w:val="34"/>
          <w:szCs w:val="34"/>
          <w:rtl/>
        </w:rPr>
        <w:t xml:space="preserve"> </w:t>
      </w:r>
      <w:r w:rsidRPr="007C659F">
        <w:rPr>
          <w:rFonts w:ascii="mylotus" w:hAnsi="mylotus"/>
          <w:sz w:val="34"/>
          <w:szCs w:val="34"/>
          <w:rtl/>
          <w:lang w:bidi="ar-BH"/>
        </w:rPr>
        <w:t>رابع. والأول غير محتمل؛ لأنّه لا يريد مجموعهما</w:t>
      </w:r>
      <w:r w:rsidRPr="007C659F">
        <w:rPr>
          <w:rFonts w:ascii="mylotus" w:hAnsi="mylotus"/>
          <w:sz w:val="34"/>
          <w:szCs w:val="34"/>
          <w:rtl/>
        </w:rPr>
        <w:t>،</w:t>
      </w:r>
      <w:r w:rsidRPr="007C659F">
        <w:rPr>
          <w:rFonts w:ascii="mylotus" w:hAnsi="mylotus"/>
          <w:sz w:val="34"/>
          <w:szCs w:val="34"/>
          <w:rtl/>
          <w:lang w:bidi="ar-BH"/>
        </w:rPr>
        <w:t xml:space="preserve"> وكذلك الثاني لأنّه لا يريد معينا، فتعين الثالث، أي الثمن المردّد. وحيث إنّ الفرد المردّد ممّا</w:t>
      </w:r>
      <w:r w:rsidRPr="007C659F">
        <w:rPr>
          <w:rFonts w:ascii="mylotus" w:hAnsi="mylotus"/>
          <w:sz w:val="34"/>
          <w:szCs w:val="34"/>
          <w:rtl/>
        </w:rPr>
        <w:t xml:space="preserve"> </w:t>
      </w:r>
      <w:r w:rsidRPr="007C659F">
        <w:rPr>
          <w:rFonts w:ascii="mylotus" w:hAnsi="mylotus"/>
          <w:sz w:val="34"/>
          <w:szCs w:val="34"/>
          <w:rtl/>
          <w:lang w:bidi="ar-BH"/>
        </w:rPr>
        <w:t>لا هويّة لا ماهيّة له، فلا يصلح أن يكون أجرةً ولا ثمنًا.</w:t>
      </w:r>
    </w:p>
    <w:p w14:paraId="7B2E1501"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ولكنّ الملاحظة عليه: أنّه يمكن أن يكون متعلّق المعاوضة هو الجامع بينهما، وهو جامعٌ عرفي، والتخيير بيد المشتري، فكأنّه قال: </w:t>
      </w:r>
      <w:r w:rsidRPr="007C659F">
        <w:rPr>
          <w:rFonts w:ascii="mylotus" w:hAnsi="mylotus"/>
          <w:sz w:val="34"/>
          <w:szCs w:val="34"/>
          <w:rtl/>
        </w:rPr>
        <w:t>"</w:t>
      </w:r>
      <w:r w:rsidRPr="007C659F">
        <w:rPr>
          <w:rFonts w:ascii="mylotus" w:hAnsi="mylotus"/>
          <w:sz w:val="34"/>
          <w:szCs w:val="34"/>
          <w:rtl/>
          <w:lang w:bidi="ar-BH"/>
        </w:rPr>
        <w:t>أبيعك هذه السلعة بإزاء أحد الثمنين</w:t>
      </w:r>
      <w:r w:rsidRPr="007C659F">
        <w:rPr>
          <w:rFonts w:ascii="mylotus" w:hAnsi="mylotus"/>
          <w:sz w:val="34"/>
          <w:szCs w:val="34"/>
          <w:rtl/>
        </w:rPr>
        <w:t>"</w:t>
      </w:r>
      <w:r w:rsidRPr="007C659F">
        <w:rPr>
          <w:rFonts w:ascii="mylotus" w:hAnsi="mylotus"/>
          <w:sz w:val="34"/>
          <w:szCs w:val="34"/>
          <w:rtl/>
          <w:lang w:bidi="ar-BH"/>
        </w:rPr>
        <w:t>، وليس هذا من الفرد المردّد الذي لا واقع له، فالمعاملة صحيحة حيث لا دليل على اعتبار التعيين في المعاوضة بأكثر من ذلك.</w:t>
      </w:r>
    </w:p>
    <w:p w14:paraId="31E8AFE4" w14:textId="77777777" w:rsidR="007C659F" w:rsidRPr="00310FB5" w:rsidRDefault="007C659F" w:rsidP="007C659F">
      <w:pPr>
        <w:pStyle w:val="a0"/>
        <w:bidi/>
        <w:rPr>
          <w:rFonts w:ascii="mylotus" w:hAnsi="mylotus"/>
          <w:b/>
          <w:bCs/>
          <w:sz w:val="34"/>
          <w:szCs w:val="34"/>
          <w:rtl/>
        </w:rPr>
      </w:pPr>
      <w:r w:rsidRPr="00310FB5">
        <w:rPr>
          <w:rFonts w:ascii="mylotus" w:hAnsi="mylotus"/>
          <w:b/>
          <w:bCs/>
          <w:sz w:val="34"/>
          <w:szCs w:val="34"/>
          <w:rtl/>
          <w:lang w:bidi="ar-BH"/>
        </w:rPr>
        <w:t>الأمر الثالث:</w:t>
      </w:r>
      <w:r w:rsidRPr="00310FB5">
        <w:rPr>
          <w:rFonts w:ascii="mylotus" w:hAnsi="mylotus"/>
          <w:b/>
          <w:bCs/>
          <w:sz w:val="34"/>
          <w:szCs w:val="34"/>
          <w:rtl/>
        </w:rPr>
        <w:t xml:space="preserve"> المراد من النهي في المعاملة</w:t>
      </w:r>
    </w:p>
    <w:p w14:paraId="46B0804A"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rPr>
        <w:t>إ</w:t>
      </w:r>
      <w:r w:rsidRPr="007C659F">
        <w:rPr>
          <w:rFonts w:ascii="mylotus" w:hAnsi="mylotus"/>
          <w:sz w:val="34"/>
          <w:szCs w:val="34"/>
          <w:rtl/>
          <w:lang w:bidi="ar-BH"/>
        </w:rPr>
        <w:t>نّ المعاملة وإن كانت صحيحة في فرض كون الثمن هو الجامع</w:t>
      </w:r>
      <w:r w:rsidRPr="007C659F">
        <w:rPr>
          <w:rFonts w:ascii="mylotus" w:hAnsi="mylotus"/>
          <w:sz w:val="34"/>
          <w:szCs w:val="34"/>
          <w:rtl/>
        </w:rPr>
        <w:t>،</w:t>
      </w:r>
      <w:r w:rsidRPr="007C659F">
        <w:rPr>
          <w:rFonts w:ascii="mylotus" w:hAnsi="mylotus"/>
          <w:sz w:val="34"/>
          <w:szCs w:val="34"/>
          <w:rtl/>
          <w:lang w:bidi="ar-BH"/>
        </w:rPr>
        <w:t xml:space="preserve"> إلا أنّها من المنهيٌّ عنه في الرواية الشريفة، وهي: "نهى </w:t>
      </w:r>
      <w:r w:rsidRPr="007C659F">
        <w:rPr>
          <w:rFonts w:ascii="mylotus" w:hAnsi="mylotus"/>
          <w:sz w:val="34"/>
          <w:szCs w:val="34"/>
          <w:rtl/>
        </w:rPr>
        <w:t xml:space="preserve">رسول الله (صلى الله عليه وآله) </w:t>
      </w:r>
      <w:r w:rsidRPr="007C659F">
        <w:rPr>
          <w:rFonts w:ascii="mylotus" w:hAnsi="mylotus"/>
          <w:sz w:val="34"/>
          <w:szCs w:val="34"/>
          <w:rtl/>
          <w:lang w:bidi="ar-BH"/>
        </w:rPr>
        <w:t>عن سلفٍ وبيع"</w:t>
      </w:r>
      <w:r w:rsidRPr="007C659F">
        <w:rPr>
          <w:rFonts w:ascii="mylotus" w:hAnsi="mylotus"/>
          <w:sz w:val="34"/>
          <w:szCs w:val="34"/>
          <w:rtl/>
        </w:rPr>
        <w:t xml:space="preserve">، </w:t>
      </w:r>
      <w:r w:rsidRPr="007C659F">
        <w:rPr>
          <w:rFonts w:ascii="mylotus" w:hAnsi="mylotus"/>
          <w:sz w:val="34"/>
          <w:szCs w:val="34"/>
          <w:rtl/>
          <w:lang w:bidi="ar-BH"/>
        </w:rPr>
        <w:t>بناءً على تفسيرها بذلك</w:t>
      </w:r>
      <w:r w:rsidRPr="007C659F">
        <w:rPr>
          <w:rFonts w:ascii="mylotus" w:hAnsi="mylotus"/>
          <w:sz w:val="34"/>
          <w:szCs w:val="34"/>
          <w:rtl/>
        </w:rPr>
        <w:t>،</w:t>
      </w:r>
      <w:r w:rsidRPr="007C659F">
        <w:rPr>
          <w:rFonts w:ascii="mylotus" w:hAnsi="mylotus"/>
          <w:sz w:val="34"/>
          <w:szCs w:val="34"/>
          <w:rtl/>
          <w:lang w:bidi="ar-BH"/>
        </w:rPr>
        <w:t xml:space="preserve"> والنهي عن المعاملة ظاهرٌ في الإرشاد للفساد، لا أنّه نهيٌ مولويّ</w:t>
      </w:r>
      <w:r w:rsidRPr="007C659F">
        <w:rPr>
          <w:rFonts w:ascii="mylotus" w:hAnsi="mylotus"/>
          <w:sz w:val="34"/>
          <w:szCs w:val="34"/>
          <w:rtl/>
        </w:rPr>
        <w:t xml:space="preserve">، </w:t>
      </w:r>
      <w:r w:rsidRPr="007C659F">
        <w:rPr>
          <w:rFonts w:ascii="mylotus" w:hAnsi="mylotus"/>
          <w:sz w:val="34"/>
          <w:szCs w:val="34"/>
          <w:rtl/>
          <w:lang w:bidi="ar-BH"/>
        </w:rPr>
        <w:t xml:space="preserve">كما احتمله صاحب الوسائل </w:t>
      </w:r>
      <w:r w:rsidRPr="007C659F">
        <w:rPr>
          <w:rFonts w:ascii="mylotus" w:hAnsi="mylotus"/>
          <w:sz w:val="34"/>
          <w:szCs w:val="34"/>
          <w:rtl/>
        </w:rPr>
        <w:t>(</w:t>
      </w:r>
      <w:r w:rsidRPr="007C659F">
        <w:rPr>
          <w:rFonts w:ascii="mylotus" w:hAnsi="mylotus"/>
          <w:sz w:val="34"/>
          <w:szCs w:val="34"/>
          <w:rtl/>
          <w:lang w:bidi="ar-BH"/>
        </w:rPr>
        <w:t>ر</w:t>
      </w:r>
      <w:r w:rsidRPr="007C659F">
        <w:rPr>
          <w:rFonts w:ascii="mylotus" w:hAnsi="mylotus"/>
          <w:sz w:val="34"/>
          <w:szCs w:val="34"/>
          <w:rtl/>
        </w:rPr>
        <w:t>حمه الل</w:t>
      </w:r>
      <w:r w:rsidRPr="007C659F">
        <w:rPr>
          <w:rFonts w:ascii="mylotus" w:hAnsi="mylotus"/>
          <w:sz w:val="34"/>
          <w:szCs w:val="34"/>
          <w:rtl/>
          <w:lang w:bidi="ar-BH"/>
        </w:rPr>
        <w:t>ه</w:t>
      </w:r>
      <w:r w:rsidRPr="007C659F">
        <w:rPr>
          <w:rFonts w:ascii="mylotus" w:hAnsi="mylotus"/>
          <w:sz w:val="34"/>
          <w:szCs w:val="34"/>
          <w:rtl/>
        </w:rPr>
        <w:t>)</w:t>
      </w:r>
      <w:r w:rsidRPr="007C659F">
        <w:rPr>
          <w:rFonts w:ascii="mylotus" w:hAnsi="mylotus"/>
          <w:sz w:val="34"/>
          <w:szCs w:val="34"/>
          <w:rtl/>
          <w:lang w:bidi="ar-BH"/>
        </w:rPr>
        <w:t xml:space="preserve"> عند التعليق على الرواية.</w:t>
      </w:r>
    </w:p>
    <w:p w14:paraId="7C367524"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ولعلّ مصبّ النهي هو كون الزيادة مقابل الأجل، وهذا هو نفس محذور الربا</w:t>
      </w:r>
      <w:r w:rsidRPr="007C659F">
        <w:rPr>
          <w:rFonts w:ascii="mylotus" w:hAnsi="mylotus"/>
          <w:sz w:val="34"/>
          <w:szCs w:val="34"/>
          <w:rtl/>
        </w:rPr>
        <w:t>.</w:t>
      </w:r>
      <w:r w:rsidRPr="007C659F">
        <w:rPr>
          <w:rFonts w:ascii="mylotus" w:hAnsi="mylotus"/>
          <w:sz w:val="34"/>
          <w:szCs w:val="34"/>
          <w:rtl/>
          <w:lang w:bidi="ar-BH"/>
        </w:rPr>
        <w:t xml:space="preserve"> ولذا لو فرض أنّ المعاملة بثمنين كلاهما مؤجّل، أو بثمنين كلاهما معجّل، أو كان الثمن المعجّل والمؤجّل متساويين لا متفاوتين، لم يكن بذلك بأسٌ، فإنّ المحذور في كون أحد الثمنين مشتملاً على زيادة مقابل الأجل.</w:t>
      </w:r>
    </w:p>
    <w:p w14:paraId="5038D33F"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ولكن في مقابل ذلك روايتان أخريان قد يُستفاد منهما الصحّة، وهما: </w:t>
      </w:r>
    </w:p>
    <w:p w14:paraId="2F0D0AC1"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1- معتبرة محمّد بن قيس، عن أبي جعفر (عليه السلام) قال: "قال أمير المؤمنين عليّ (عليه السلام): مَنْ بَاعَ سِلْعَةً فَقَال: إِنَّ ثَمَنَهَا كَذَا وَكَذَا يَداً بِيَدٍ</w:t>
      </w:r>
      <w:r w:rsidRPr="007C659F">
        <w:rPr>
          <w:rFonts w:ascii="mylotus" w:hAnsi="mylotus"/>
          <w:sz w:val="34"/>
          <w:szCs w:val="34"/>
          <w:rtl/>
        </w:rPr>
        <w:t xml:space="preserve">، </w:t>
      </w:r>
      <w:r w:rsidRPr="007C659F">
        <w:rPr>
          <w:rFonts w:ascii="mylotus" w:hAnsi="mylotus"/>
          <w:sz w:val="34"/>
          <w:szCs w:val="34"/>
          <w:rtl/>
          <w:lang w:bidi="ar-BH"/>
        </w:rPr>
        <w:t>وَثَمَنَهَا كَذَا وَكَذَا نَظِرَةً</w:t>
      </w:r>
      <w:r w:rsidRPr="007C659F">
        <w:rPr>
          <w:rFonts w:ascii="mylotus" w:hAnsi="mylotus"/>
          <w:sz w:val="34"/>
          <w:szCs w:val="34"/>
          <w:rtl/>
        </w:rPr>
        <w:t>،</w:t>
      </w:r>
      <w:r w:rsidRPr="007C659F">
        <w:rPr>
          <w:rFonts w:ascii="mylotus" w:hAnsi="mylotus"/>
          <w:sz w:val="34"/>
          <w:szCs w:val="34"/>
          <w:rtl/>
          <w:lang w:bidi="ar-BH"/>
        </w:rPr>
        <w:t xml:space="preserve"> فَخُذْهَا بِأَيِّ ثَمَنٍ شِئْتَ</w:t>
      </w:r>
      <w:r w:rsidRPr="007C659F">
        <w:rPr>
          <w:rFonts w:ascii="mylotus" w:hAnsi="mylotus"/>
          <w:sz w:val="34"/>
          <w:szCs w:val="34"/>
          <w:rtl/>
        </w:rPr>
        <w:t>،</w:t>
      </w:r>
      <w:r w:rsidRPr="007C659F">
        <w:rPr>
          <w:rFonts w:ascii="mylotus" w:hAnsi="mylotus"/>
          <w:sz w:val="34"/>
          <w:szCs w:val="34"/>
          <w:rtl/>
          <w:lang w:bidi="ar-BH"/>
        </w:rPr>
        <w:t xml:space="preserve"> وَ</w:t>
      </w:r>
      <w:r w:rsidRPr="007C659F">
        <w:rPr>
          <w:rFonts w:ascii="mylotus" w:hAnsi="mylotus"/>
          <w:sz w:val="34"/>
          <w:szCs w:val="34"/>
          <w:rtl/>
        </w:rPr>
        <w:t>ا</w:t>
      </w:r>
      <w:r w:rsidRPr="007C659F">
        <w:rPr>
          <w:rFonts w:ascii="mylotus" w:hAnsi="mylotus"/>
          <w:sz w:val="34"/>
          <w:szCs w:val="34"/>
          <w:rtl/>
          <w:lang w:bidi="ar-BH"/>
        </w:rPr>
        <w:t>جَعَلَ</w:t>
      </w:r>
      <w:r w:rsidRPr="007C659F">
        <w:rPr>
          <w:rFonts w:ascii="Times New Roman" w:hAnsi="Times New Roman" w:cs="Times New Roman" w:hint="cs"/>
          <w:sz w:val="34"/>
          <w:szCs w:val="34"/>
          <w:rtl/>
          <w:lang w:bidi="ar-BH"/>
        </w:rPr>
        <w:t>‌</w:t>
      </w:r>
      <w:r w:rsidRPr="007C659F">
        <w:rPr>
          <w:rFonts w:ascii="mylotus" w:hAnsi="mylotus"/>
          <w:sz w:val="34"/>
          <w:szCs w:val="34"/>
          <w:rtl/>
          <w:lang w:bidi="ar-BH"/>
        </w:rPr>
        <w:t xml:space="preserve"> </w:t>
      </w:r>
      <w:r w:rsidRPr="007C659F">
        <w:rPr>
          <w:rFonts w:ascii="mylotus" w:hAnsi="mylotus" w:hint="cs"/>
          <w:sz w:val="34"/>
          <w:szCs w:val="34"/>
          <w:rtl/>
          <w:lang w:bidi="ar-BH"/>
        </w:rPr>
        <w:t>صَفْقَتَهَا</w:t>
      </w:r>
      <w:r w:rsidRPr="007C659F">
        <w:rPr>
          <w:rFonts w:ascii="mylotus" w:hAnsi="mylotus"/>
          <w:sz w:val="34"/>
          <w:szCs w:val="34"/>
          <w:rtl/>
          <w:lang w:bidi="ar-BH"/>
        </w:rPr>
        <w:t xml:space="preserve"> </w:t>
      </w:r>
      <w:r w:rsidRPr="007C659F">
        <w:rPr>
          <w:rFonts w:ascii="mylotus" w:hAnsi="mylotus" w:hint="cs"/>
          <w:sz w:val="34"/>
          <w:szCs w:val="34"/>
          <w:rtl/>
          <w:lang w:bidi="ar-BH"/>
        </w:rPr>
        <w:t>وَاحِدَة</w:t>
      </w:r>
      <w:r w:rsidRPr="007C659F">
        <w:rPr>
          <w:rFonts w:ascii="mylotus" w:hAnsi="mylotus"/>
          <w:sz w:val="34"/>
          <w:szCs w:val="34"/>
          <w:rtl/>
        </w:rPr>
        <w:t xml:space="preserve"> [</w:t>
      </w:r>
      <w:r w:rsidRPr="007C659F">
        <w:rPr>
          <w:rFonts w:ascii="mylotus" w:hAnsi="mylotus"/>
          <w:sz w:val="34"/>
          <w:szCs w:val="34"/>
          <w:rtl/>
          <w:lang w:bidi="ar-BH"/>
        </w:rPr>
        <w:t xml:space="preserve">أي أن على المشتري تعيين أحد الثمنين من حين القبول حتّى تكون صفقة واحدة وفي بعض النسخ: </w:t>
      </w:r>
      <w:r w:rsidRPr="007C659F">
        <w:rPr>
          <w:rFonts w:ascii="mylotus" w:hAnsi="mylotus"/>
          <w:sz w:val="34"/>
          <w:szCs w:val="34"/>
          <w:rtl/>
        </w:rPr>
        <w:t>"</w:t>
      </w:r>
      <w:r w:rsidRPr="007C659F">
        <w:rPr>
          <w:rFonts w:ascii="mylotus" w:hAnsi="mylotus"/>
          <w:sz w:val="34"/>
          <w:szCs w:val="34"/>
          <w:rtl/>
          <w:lang w:bidi="ar-BH"/>
        </w:rPr>
        <w:t>وجعل صفقتها</w:t>
      </w:r>
      <w:r w:rsidRPr="007C659F">
        <w:rPr>
          <w:rFonts w:ascii="mylotus" w:hAnsi="mylotus"/>
          <w:sz w:val="34"/>
          <w:szCs w:val="34"/>
          <w:rtl/>
        </w:rPr>
        <w:t>"</w:t>
      </w:r>
      <w:r w:rsidRPr="007C659F">
        <w:rPr>
          <w:rFonts w:ascii="mylotus" w:hAnsi="mylotus"/>
          <w:sz w:val="34"/>
          <w:szCs w:val="34"/>
          <w:rtl/>
          <w:lang w:bidi="ar-BH"/>
        </w:rPr>
        <w:t>، والظاهر أنّه ليس صحيحا</w:t>
      </w:r>
      <w:r w:rsidRPr="007C659F">
        <w:rPr>
          <w:rFonts w:ascii="mylotus" w:hAnsi="mylotus"/>
          <w:sz w:val="34"/>
          <w:szCs w:val="34"/>
          <w:rtl/>
        </w:rPr>
        <w:t>]</w:t>
      </w:r>
      <w:r w:rsidRPr="007C659F">
        <w:rPr>
          <w:rFonts w:ascii="mylotus" w:hAnsi="mylotus"/>
          <w:sz w:val="34"/>
          <w:szCs w:val="34"/>
          <w:rtl/>
          <w:lang w:bidi="ar-BH"/>
        </w:rPr>
        <w:t xml:space="preserve"> فَلَيْسَ لَهُ إِلاَّ أَقَلُّهُمَا </w:t>
      </w:r>
      <w:r w:rsidRPr="007C659F">
        <w:rPr>
          <w:rFonts w:ascii="mylotus" w:hAnsi="mylotus"/>
          <w:sz w:val="34"/>
          <w:szCs w:val="34"/>
          <w:rtl/>
          <w:lang w:bidi="ar-BH"/>
        </w:rPr>
        <w:lastRenderedPageBreak/>
        <w:t xml:space="preserve">وَإِنْ كَانَتْ نَظِرَة </w:t>
      </w:r>
      <w:r w:rsidRPr="007C659F">
        <w:rPr>
          <w:rFonts w:ascii="mylotus" w:hAnsi="mylotus"/>
          <w:sz w:val="34"/>
          <w:szCs w:val="34"/>
          <w:rtl/>
        </w:rPr>
        <w:t>[</w:t>
      </w:r>
      <w:r w:rsidRPr="007C659F">
        <w:rPr>
          <w:rFonts w:ascii="mylotus" w:hAnsi="mylotus"/>
          <w:sz w:val="34"/>
          <w:szCs w:val="34"/>
          <w:rtl/>
          <w:lang w:bidi="ar-BH"/>
        </w:rPr>
        <w:t>أي بمقدور المشتري أن يغيّر المعاملة، كأن يقول له: قبلتُ البيع بالثمن الأقلّ نسيئةً</w:t>
      </w:r>
      <w:r w:rsidRPr="007C659F">
        <w:rPr>
          <w:rFonts w:ascii="mylotus" w:hAnsi="mylotus"/>
          <w:sz w:val="34"/>
          <w:szCs w:val="34"/>
          <w:rtl/>
        </w:rPr>
        <w:t>]"</w:t>
      </w:r>
      <w:r w:rsidRPr="007C659F">
        <w:rPr>
          <w:rFonts w:ascii="mylotus" w:hAnsi="mylotus"/>
          <w:sz w:val="34"/>
          <w:szCs w:val="34"/>
          <w:vertAlign w:val="superscript"/>
          <w:rtl/>
        </w:rPr>
        <w:t>(</w:t>
      </w:r>
      <w:r w:rsidRPr="007C659F">
        <w:rPr>
          <w:rStyle w:val="ac"/>
          <w:rFonts w:ascii="mylotus" w:hAnsi="mylotus"/>
          <w:sz w:val="34"/>
          <w:szCs w:val="34"/>
          <w:rtl/>
        </w:rPr>
        <w:footnoteReference w:id="6"/>
      </w:r>
      <w:r w:rsidRPr="007C659F">
        <w:rPr>
          <w:rFonts w:ascii="mylotus" w:hAnsi="mylotus"/>
          <w:sz w:val="34"/>
          <w:szCs w:val="34"/>
          <w:vertAlign w:val="superscript"/>
          <w:rtl/>
        </w:rPr>
        <w:t>)</w:t>
      </w:r>
      <w:r w:rsidRPr="007C659F">
        <w:rPr>
          <w:rFonts w:ascii="mylotus" w:hAnsi="mylotus"/>
          <w:sz w:val="34"/>
          <w:szCs w:val="34"/>
          <w:rtl/>
        </w:rPr>
        <w:t>.</w:t>
      </w:r>
      <w:r w:rsidRPr="007C659F">
        <w:rPr>
          <w:rFonts w:ascii="mylotus" w:hAnsi="mylotus"/>
          <w:sz w:val="34"/>
          <w:szCs w:val="34"/>
          <w:rtl/>
          <w:lang w:bidi="ar-BH"/>
        </w:rPr>
        <w:t xml:space="preserve"> </w:t>
      </w:r>
      <w:r w:rsidRPr="007C659F">
        <w:rPr>
          <w:rFonts w:ascii="mylotus" w:hAnsi="mylotus"/>
          <w:sz w:val="34"/>
          <w:szCs w:val="34"/>
          <w:rtl/>
        </w:rPr>
        <w:t>وقوله: "</w:t>
      </w:r>
      <w:r w:rsidRPr="007C659F">
        <w:rPr>
          <w:rFonts w:ascii="mylotus" w:hAnsi="mylotus"/>
          <w:sz w:val="34"/>
          <w:szCs w:val="34"/>
          <w:rtl/>
          <w:lang w:bidi="ar-BH"/>
        </w:rPr>
        <w:t>فَلَيْسَ لَهُ</w:t>
      </w:r>
      <w:r w:rsidRPr="007C659F">
        <w:rPr>
          <w:rFonts w:ascii="mylotus" w:hAnsi="mylotus"/>
          <w:sz w:val="34"/>
          <w:szCs w:val="34"/>
          <w:rtl/>
        </w:rPr>
        <w:t>"</w:t>
      </w:r>
      <w:r w:rsidRPr="007C659F">
        <w:rPr>
          <w:rFonts w:ascii="mylotus" w:hAnsi="mylotus"/>
          <w:sz w:val="34"/>
          <w:szCs w:val="34"/>
          <w:rtl/>
          <w:lang w:bidi="ar-BH"/>
        </w:rPr>
        <w:t xml:space="preserve"> أي للبائع</w:t>
      </w:r>
      <w:r w:rsidRPr="007C659F">
        <w:rPr>
          <w:rFonts w:ascii="mylotus" w:hAnsi="mylotus"/>
          <w:sz w:val="34"/>
          <w:szCs w:val="34"/>
          <w:rtl/>
        </w:rPr>
        <w:t>،</w:t>
      </w:r>
      <w:r w:rsidRPr="007C659F">
        <w:rPr>
          <w:rFonts w:ascii="mylotus" w:hAnsi="mylotus"/>
          <w:sz w:val="34"/>
          <w:szCs w:val="34"/>
          <w:rtl/>
          <w:lang w:bidi="ar-BH"/>
        </w:rPr>
        <w:t xml:space="preserve"> </w:t>
      </w:r>
      <w:r w:rsidRPr="007C659F">
        <w:rPr>
          <w:rFonts w:ascii="mylotus" w:hAnsi="mylotus"/>
          <w:sz w:val="34"/>
          <w:szCs w:val="34"/>
          <w:rtl/>
        </w:rPr>
        <w:t>وقوله: "</w:t>
      </w:r>
      <w:r w:rsidRPr="007C659F">
        <w:rPr>
          <w:rFonts w:ascii="mylotus" w:hAnsi="mylotus"/>
          <w:sz w:val="34"/>
          <w:szCs w:val="34"/>
          <w:rtl/>
          <w:lang w:bidi="ar-BH"/>
        </w:rPr>
        <w:t>إِلاَّ أَقَلُّهُمَا</w:t>
      </w:r>
      <w:r w:rsidRPr="007C659F">
        <w:rPr>
          <w:rFonts w:ascii="mylotus" w:hAnsi="mylotus"/>
          <w:sz w:val="34"/>
          <w:szCs w:val="34"/>
          <w:rtl/>
        </w:rPr>
        <w:t xml:space="preserve">" </w:t>
      </w:r>
      <w:r w:rsidRPr="007C659F">
        <w:rPr>
          <w:rFonts w:ascii="mylotus" w:hAnsi="mylotus"/>
          <w:sz w:val="34"/>
          <w:szCs w:val="34"/>
          <w:rtl/>
          <w:lang w:bidi="ar-BH"/>
        </w:rPr>
        <w:t>أي أقلّ الثمنين</w:t>
      </w:r>
      <w:r w:rsidRPr="007C659F">
        <w:rPr>
          <w:rFonts w:ascii="mylotus" w:hAnsi="mylotus"/>
          <w:sz w:val="34"/>
          <w:szCs w:val="34"/>
          <w:rtl/>
        </w:rPr>
        <w:t xml:space="preserve"> "</w:t>
      </w:r>
      <w:r w:rsidRPr="007C659F">
        <w:rPr>
          <w:rFonts w:ascii="mylotus" w:hAnsi="mylotus"/>
          <w:sz w:val="34"/>
          <w:szCs w:val="34"/>
          <w:rtl/>
          <w:lang w:bidi="ar-BH"/>
        </w:rPr>
        <w:t>وَإِنْ كَانَتْ نَظِرَة</w:t>
      </w:r>
      <w:r w:rsidRPr="007C659F">
        <w:rPr>
          <w:rFonts w:ascii="mylotus" w:hAnsi="mylotus"/>
          <w:sz w:val="34"/>
          <w:szCs w:val="34"/>
          <w:rtl/>
        </w:rPr>
        <w:t>"</w:t>
      </w:r>
      <w:r w:rsidRPr="007C659F">
        <w:rPr>
          <w:rFonts w:ascii="mylotus" w:hAnsi="mylotus"/>
          <w:sz w:val="34"/>
          <w:szCs w:val="34"/>
          <w:rtl/>
          <w:lang w:bidi="ar-BH"/>
        </w:rPr>
        <w:t>.</w:t>
      </w:r>
    </w:p>
    <w:p w14:paraId="2262530D"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2- رواية السكونيّ -بناءً على وثاقة </w:t>
      </w:r>
      <w:proofErr w:type="spellStart"/>
      <w:r w:rsidRPr="007C659F">
        <w:rPr>
          <w:rFonts w:ascii="mylotus" w:hAnsi="mylotus"/>
          <w:sz w:val="34"/>
          <w:szCs w:val="34"/>
          <w:rtl/>
          <w:lang w:bidi="ar-BH"/>
        </w:rPr>
        <w:t>النوفليّ</w:t>
      </w:r>
      <w:proofErr w:type="spellEnd"/>
      <w:r w:rsidRPr="007C659F">
        <w:rPr>
          <w:rFonts w:ascii="mylotus" w:hAnsi="mylotus"/>
          <w:sz w:val="34"/>
          <w:szCs w:val="34"/>
          <w:rtl/>
          <w:lang w:bidi="ar-BH"/>
        </w:rPr>
        <w:t xml:space="preserve"> كما هو مبنى سيدنا الخوئي (قدس سره) وهو محل منع-، عن جعفر بن محمد (عليه السلام)، عن أبيه، عن آبائه، أنّ عليًّا (عليه السلام) قضى في رجلٍ باع بيعًا واشترط شرطين، بالنقد كذا وبالنسيئة كذا، فأخذ المتاع على ذلك الشرط، فقال (عليه السلام): "هُوَ بِأَقَلِّ اَلثَّمَنَيْنِ وَأَبْعَدِ اَلْأَجَلَيْن"</w:t>
      </w:r>
      <w:r w:rsidRPr="007C659F">
        <w:rPr>
          <w:rFonts w:ascii="mylotus" w:hAnsi="mylotus"/>
          <w:sz w:val="34"/>
          <w:szCs w:val="34"/>
          <w:vertAlign w:val="superscript"/>
          <w:rtl/>
        </w:rPr>
        <w:t>(</w:t>
      </w:r>
      <w:r w:rsidRPr="007C659F">
        <w:rPr>
          <w:rStyle w:val="ac"/>
          <w:rFonts w:ascii="mylotus" w:hAnsi="mylotus"/>
          <w:sz w:val="34"/>
          <w:szCs w:val="34"/>
          <w:rtl/>
        </w:rPr>
        <w:footnoteReference w:id="7"/>
      </w:r>
      <w:r w:rsidRPr="007C659F">
        <w:rPr>
          <w:rFonts w:ascii="mylotus" w:hAnsi="mylotus"/>
          <w:sz w:val="34"/>
          <w:szCs w:val="34"/>
          <w:vertAlign w:val="superscript"/>
          <w:rtl/>
        </w:rPr>
        <w:t>)</w:t>
      </w:r>
      <w:r w:rsidRPr="007C659F">
        <w:rPr>
          <w:rFonts w:ascii="mylotus" w:hAnsi="mylotus"/>
          <w:sz w:val="34"/>
          <w:szCs w:val="34"/>
          <w:rtl/>
          <w:lang w:bidi="ar-BH"/>
        </w:rPr>
        <w:t>.</w:t>
      </w:r>
    </w:p>
    <w:p w14:paraId="3118D165"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فقد يُقال: إن ظاهر الروايتين أنّ البيع صحيح، غاية ما في الباب أنّ للمشتري أن يجعله بأقلّ الثمنين وأبعد الأجلين، وإلا فالبيع صحيحٌ. </w:t>
      </w:r>
    </w:p>
    <w:p w14:paraId="2025E7F6"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ولكن قد يتأمل في ذلك: بأن ذيل المعتبرة الأولى (معتبرة محمّد بن قيس) قال: "قال أمير المؤمنين عليّ (عليه السلام): من باع سلعةً فقال: إنّ ثمنها كذا وكذا يدًا بيد، وثمنها كذا وكذا نظرة، فخذها بأيّ ثمنٍ شئت، واجعل صفقتها واحدة، فليس له إلا أقلّهما وإن كانت نظرة". وهو قوله</w:t>
      </w:r>
      <w:r w:rsidRPr="007C659F">
        <w:rPr>
          <w:rFonts w:ascii="mylotus" w:hAnsi="mylotus"/>
          <w:sz w:val="34"/>
          <w:szCs w:val="34"/>
          <w:rtl/>
        </w:rPr>
        <w:t>:</w:t>
      </w:r>
      <w:r w:rsidRPr="007C659F">
        <w:rPr>
          <w:rFonts w:ascii="mylotus" w:hAnsi="mylotus"/>
          <w:sz w:val="34"/>
          <w:szCs w:val="34"/>
          <w:rtl/>
          <w:lang w:bidi="ar-BH"/>
        </w:rPr>
        <w:t xml:space="preserve"> "وقال (عليه السلام): من ساوم بثمنين أحدهما عاجلاً والآخر نظرة، فليسمِّ أحدهما قبل الصفقة"، ظاهر في أنّ صحّة البيع مشروطة بتعيين أحدهما قبل الصفقة، حيث قال: "فليسمِّ أحدهما قبل الصفقة"، وظاهره أنّ صحّة البيع مشروطة بالتعيين، وأنّه ما لم يكن هناك تعيينٌ فالبيع ليس صحيحًا.</w:t>
      </w:r>
    </w:p>
    <w:p w14:paraId="69407ACB"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بينما ظاهر صدر الرواية عدم اشتراط أن يعيّن البائع أيًّا منهما، وللمشتري الخيار في أن يبرم الشراء بأقلّ الثمنين وأبعد الأجلين. </w:t>
      </w:r>
    </w:p>
    <w:p w14:paraId="69B3A0F3"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ومقتضى الجمع العرفي بين الصدر والذيل أنّ البيع على نحو الترديد فاقدٌ لشرط الصحّة، إلا أنّ للمشتري أن يقبل البيع بأقلّ الثمنين لأبعد الأجلين تعبّدًا، فإن ذلك وإن كان خلاف القاعدة، المستفادة من قوله تعالى ﴿إِلَّا أَن تَكُونَ تِجَارَةً عَن تَرَاضٍ﴾</w:t>
      </w:r>
      <w:r w:rsidRPr="007C659F">
        <w:rPr>
          <w:rFonts w:ascii="mylotus" w:hAnsi="mylotus"/>
          <w:sz w:val="34"/>
          <w:szCs w:val="34"/>
          <w:vertAlign w:val="superscript"/>
          <w:rtl/>
        </w:rPr>
        <w:t>(</w:t>
      </w:r>
      <w:r w:rsidRPr="007C659F">
        <w:rPr>
          <w:rStyle w:val="ac"/>
          <w:rFonts w:ascii="mylotus" w:hAnsi="mylotus"/>
          <w:sz w:val="34"/>
          <w:szCs w:val="34"/>
          <w:rtl/>
        </w:rPr>
        <w:footnoteReference w:id="8"/>
      </w:r>
      <w:r w:rsidRPr="007C659F">
        <w:rPr>
          <w:rFonts w:ascii="mylotus" w:hAnsi="mylotus"/>
          <w:sz w:val="34"/>
          <w:szCs w:val="34"/>
          <w:vertAlign w:val="superscript"/>
          <w:rtl/>
        </w:rPr>
        <w:t>)</w:t>
      </w:r>
      <w:r w:rsidRPr="007C659F">
        <w:rPr>
          <w:rFonts w:ascii="mylotus" w:hAnsi="mylotus"/>
          <w:sz w:val="34"/>
          <w:szCs w:val="34"/>
          <w:rtl/>
          <w:lang w:bidi="ar-BH"/>
        </w:rPr>
        <w:t xml:space="preserve">، </w:t>
      </w:r>
      <w:r w:rsidRPr="007C659F">
        <w:rPr>
          <w:rFonts w:ascii="mylotus" w:hAnsi="mylotus"/>
          <w:sz w:val="34"/>
          <w:szCs w:val="34"/>
          <w:rtl/>
        </w:rPr>
        <w:t>إ</w:t>
      </w:r>
      <w:r w:rsidRPr="007C659F">
        <w:rPr>
          <w:rFonts w:ascii="mylotus" w:hAnsi="mylotus"/>
          <w:sz w:val="34"/>
          <w:szCs w:val="34"/>
          <w:rtl/>
          <w:lang w:bidi="ar-BH"/>
        </w:rPr>
        <w:t>لا أنه ملزم للبائع تعبدا</w:t>
      </w:r>
      <w:r w:rsidRPr="007C659F">
        <w:rPr>
          <w:rFonts w:ascii="mylotus" w:hAnsi="mylotus"/>
          <w:sz w:val="34"/>
          <w:szCs w:val="34"/>
          <w:rtl/>
        </w:rPr>
        <w:t>،</w:t>
      </w:r>
      <w:r w:rsidRPr="007C659F">
        <w:rPr>
          <w:rFonts w:ascii="mylotus" w:hAnsi="mylotus"/>
          <w:sz w:val="34"/>
          <w:szCs w:val="34"/>
          <w:rtl/>
          <w:lang w:bidi="ar-BH"/>
        </w:rPr>
        <w:t xml:space="preserve"> كما هو ظاهر قوله </w:t>
      </w:r>
      <w:r w:rsidRPr="007C659F">
        <w:rPr>
          <w:rFonts w:ascii="mylotus" w:hAnsi="mylotus"/>
          <w:sz w:val="34"/>
          <w:szCs w:val="34"/>
          <w:rtl/>
        </w:rPr>
        <w:t>(</w:t>
      </w:r>
      <w:r w:rsidRPr="007C659F">
        <w:rPr>
          <w:rFonts w:ascii="mylotus" w:hAnsi="mylotus"/>
          <w:sz w:val="34"/>
          <w:szCs w:val="34"/>
          <w:rtl/>
          <w:lang w:bidi="ar-BH"/>
        </w:rPr>
        <w:t>ع</w:t>
      </w:r>
      <w:r w:rsidRPr="007C659F">
        <w:rPr>
          <w:rFonts w:ascii="mylotus" w:hAnsi="mylotus"/>
          <w:sz w:val="34"/>
          <w:szCs w:val="34"/>
          <w:rtl/>
        </w:rPr>
        <w:t xml:space="preserve">ليه السلام) </w:t>
      </w:r>
      <w:r w:rsidRPr="007C659F">
        <w:rPr>
          <w:rFonts w:ascii="mylotus" w:hAnsi="mylotus"/>
          <w:sz w:val="34"/>
          <w:szCs w:val="34"/>
          <w:rtl/>
          <w:lang w:bidi="ar-BH"/>
        </w:rPr>
        <w:t>إنّ من ساوم بهذا النحو فللمشتري أن يقبل البيع بأقلّ الثمنين لأبعد الأجلين.</w:t>
      </w:r>
    </w:p>
    <w:p w14:paraId="2B327700"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lastRenderedPageBreak/>
        <w:t>وأمّا رواية السكونيّ، فقد يتأمل في دلالتها في المقام؛ بلحاظ أنّها واردة في مورد القضاء، ولربّما خصوصيّة للمورد اقتضت أن يحكم (عليه السلام) بنفوذ البيع في المقام بأقلّ الثمنين وأبعد الأجلين، فلا يجدي في استنباط كبرى شرعيّة بأنّ من باع بثمنين مؤجّلاً ومعجّلاً صحّ البيع بأقلّ الثمنين وأبعد الأجلين.</w:t>
      </w:r>
    </w:p>
    <w:p w14:paraId="4A0C03FB" w14:textId="77777777" w:rsidR="007C659F" w:rsidRPr="00310FB5" w:rsidRDefault="007C659F" w:rsidP="007C659F">
      <w:pPr>
        <w:pStyle w:val="a0"/>
        <w:bidi/>
        <w:rPr>
          <w:rFonts w:ascii="mylotus" w:hAnsi="mylotus"/>
          <w:b/>
          <w:bCs/>
          <w:sz w:val="34"/>
          <w:szCs w:val="34"/>
          <w:rtl/>
        </w:rPr>
      </w:pPr>
      <w:r w:rsidRPr="00310FB5">
        <w:rPr>
          <w:rFonts w:ascii="mylotus" w:hAnsi="mylotus"/>
          <w:b/>
          <w:bCs/>
          <w:sz w:val="34"/>
          <w:szCs w:val="34"/>
          <w:rtl/>
          <w:lang w:bidi="ar-BH"/>
        </w:rPr>
        <w:t>الأمر الرابع: في التطبيق ذلك على محلّ الكلام (الرافعة الماليّة)</w:t>
      </w:r>
    </w:p>
    <w:p w14:paraId="4A018AE0" w14:textId="77777777" w:rsidR="007C659F" w:rsidRPr="007C659F" w:rsidRDefault="007C659F" w:rsidP="007C659F">
      <w:pPr>
        <w:pStyle w:val="a0"/>
        <w:bidi/>
        <w:rPr>
          <w:rFonts w:ascii="mylotus" w:hAnsi="mylotus"/>
          <w:sz w:val="34"/>
          <w:szCs w:val="34"/>
          <w:rtl/>
        </w:rPr>
      </w:pPr>
      <w:r w:rsidRPr="007C659F">
        <w:rPr>
          <w:rFonts w:ascii="mylotus" w:hAnsi="mylotus"/>
          <w:sz w:val="34"/>
          <w:szCs w:val="34"/>
          <w:rtl/>
          <w:lang w:bidi="ar-BH"/>
        </w:rPr>
        <w:t xml:space="preserve">إنّ المعاملة الجارية في البنوك أو الشركات الاستثماريّة بنحو الرافعة الماليّة تحتمل وجهين، وكلاهما ممّا لا ينطبق عليه حديث "نهى </w:t>
      </w:r>
      <w:r w:rsidRPr="007C659F">
        <w:rPr>
          <w:rFonts w:ascii="mylotus" w:hAnsi="mylotus"/>
          <w:sz w:val="34"/>
          <w:szCs w:val="34"/>
          <w:rtl/>
        </w:rPr>
        <w:t xml:space="preserve">رسول الله (صلى الله عليه وآله) </w:t>
      </w:r>
      <w:r w:rsidRPr="007C659F">
        <w:rPr>
          <w:rFonts w:ascii="mylotus" w:hAnsi="mylotus"/>
          <w:sz w:val="34"/>
          <w:szCs w:val="34"/>
          <w:rtl/>
          <w:lang w:bidi="ar-BH"/>
        </w:rPr>
        <w:t>عن سلفٍ وبيع":</w:t>
      </w:r>
    </w:p>
    <w:p w14:paraId="38399349" w14:textId="77777777" w:rsidR="007C659F" w:rsidRPr="007C659F" w:rsidRDefault="007C659F" w:rsidP="007C659F">
      <w:pPr>
        <w:pStyle w:val="a0"/>
        <w:bidi/>
        <w:rPr>
          <w:rFonts w:ascii="mylotus" w:hAnsi="mylotus"/>
          <w:sz w:val="34"/>
          <w:szCs w:val="34"/>
          <w:rtl/>
        </w:rPr>
      </w:pPr>
      <w:r w:rsidRPr="00310FB5">
        <w:rPr>
          <w:rFonts w:ascii="mylotus" w:hAnsi="mylotus"/>
          <w:b/>
          <w:bCs/>
          <w:sz w:val="34"/>
          <w:szCs w:val="34"/>
          <w:rtl/>
          <w:lang w:bidi="ar-BH"/>
        </w:rPr>
        <w:t>الوجه الأوّل:</w:t>
      </w:r>
      <w:r w:rsidRPr="007C659F">
        <w:rPr>
          <w:rFonts w:ascii="mylotus" w:hAnsi="mylotus"/>
          <w:sz w:val="34"/>
          <w:szCs w:val="34"/>
          <w:rtl/>
          <w:lang w:bidi="ar-BH"/>
        </w:rPr>
        <w:t xml:space="preserve"> أنّ الرافعة الماليّة إقراضٌ من قِبل البنك واتّفاقٌ مع العميل على كون التداول بيد البنك نفسه. ومن الواضح: أنّ المعاملة ليست جمعًا بين القرض والبيع، وإنّما هي جمعٌ بين القرض والوكالة في التداول</w:t>
      </w:r>
      <w:r w:rsidRPr="007C659F">
        <w:rPr>
          <w:rFonts w:ascii="mylotus" w:hAnsi="mylotus"/>
          <w:sz w:val="34"/>
          <w:szCs w:val="34"/>
          <w:rtl/>
        </w:rPr>
        <w:t>، أي: "</w:t>
      </w:r>
      <w:r w:rsidRPr="007C659F">
        <w:rPr>
          <w:rFonts w:ascii="mylotus" w:hAnsi="mylotus"/>
          <w:sz w:val="34"/>
          <w:szCs w:val="34"/>
          <w:rtl/>
          <w:lang w:bidi="ar-BH"/>
        </w:rPr>
        <w:t xml:space="preserve">أقرضك على أن أكون أنا الوكيل عنك في سائر التداولات". وظاهر الحديث أنّ المنهيّ عنه الجمع بين القرض والبيع لنفس المقرِض، كما لو قال: "أقرضك كذا على أن أبيعك السلعة </w:t>
      </w:r>
      <w:r w:rsidRPr="007C659F">
        <w:rPr>
          <w:rFonts w:ascii="mylotus" w:hAnsi="mylotus"/>
          <w:sz w:val="34"/>
          <w:szCs w:val="34"/>
          <w:rtl/>
        </w:rPr>
        <w:t xml:space="preserve">بأكثر </w:t>
      </w:r>
      <w:r w:rsidRPr="007C659F">
        <w:rPr>
          <w:rFonts w:ascii="mylotus" w:hAnsi="mylotus"/>
          <w:sz w:val="34"/>
          <w:szCs w:val="34"/>
          <w:rtl/>
          <w:lang w:bidi="ar-BH"/>
        </w:rPr>
        <w:t>من ثمنها"، أو "أبيعك السلعة بأقلّ من ثمنها على أن أقرضك كذا"، وهو ممّا لا ينطبق على المقام.</w:t>
      </w:r>
    </w:p>
    <w:p w14:paraId="5FBD185F" w14:textId="4832E499" w:rsidR="001E176D" w:rsidRPr="007C659F" w:rsidRDefault="007C659F" w:rsidP="007C659F">
      <w:pPr>
        <w:pStyle w:val="a0"/>
        <w:bidi/>
        <w:rPr>
          <w:rFonts w:ascii="mylotus" w:hAnsi="mylotus"/>
          <w:sz w:val="34"/>
          <w:szCs w:val="34"/>
          <w:rtl/>
        </w:rPr>
      </w:pPr>
      <w:r w:rsidRPr="00310FB5">
        <w:rPr>
          <w:rFonts w:ascii="mylotus" w:hAnsi="mylotus"/>
          <w:b/>
          <w:bCs/>
          <w:sz w:val="34"/>
          <w:szCs w:val="34"/>
          <w:rtl/>
          <w:lang w:bidi="ar-BH"/>
        </w:rPr>
        <w:t>الوجه الثاني:</w:t>
      </w:r>
      <w:r w:rsidRPr="007C659F">
        <w:rPr>
          <w:rFonts w:ascii="mylotus" w:hAnsi="mylotus"/>
          <w:sz w:val="34"/>
          <w:szCs w:val="34"/>
          <w:rtl/>
          <w:lang w:bidi="ar-BH"/>
        </w:rPr>
        <w:t xml:space="preserve"> أن البائع والعميل اجتمعا في المنصّة، فقال مالك الأسهم للعميل: "أبيعك هذه الأسهم بكذا بشرط أن يكون البنك ضامنا لما</w:t>
      </w:r>
      <w:r w:rsidRPr="007C659F">
        <w:rPr>
          <w:rFonts w:ascii="mylotus" w:hAnsi="mylotus"/>
          <w:sz w:val="34"/>
          <w:szCs w:val="34"/>
          <w:rtl/>
        </w:rPr>
        <w:t xml:space="preserve"> </w:t>
      </w:r>
      <w:r w:rsidRPr="007C659F">
        <w:rPr>
          <w:rFonts w:ascii="mylotus" w:hAnsi="mylotus"/>
          <w:sz w:val="34"/>
          <w:szCs w:val="34"/>
          <w:rtl/>
          <w:lang w:bidi="ar-BH"/>
        </w:rPr>
        <w:t>زاد من ثمنها على رصيدك". وهو ممّا لا ينطبق عليه العنوان المنهيّ عنه في حديث "نهى النبيّ عن سلفٍ وبيع"؛ لعدم صدور البيع من قِبل مالك الأسهم مشروطًا بالقرض أو مقرونًا به، كما أنّ المناط في النهي عن القرن بين البيع والقرض هو ورود محذور الربا، وهو ليس بوارد في المقام لا في حقّ البائع ولا في حقّ المشتري.</w:t>
      </w:r>
    </w:p>
    <w:p w14:paraId="22652E44" w14:textId="6EF2CF1C" w:rsidR="00AC42C7" w:rsidRPr="005C4471" w:rsidRDefault="00AC42C7" w:rsidP="001B1F29">
      <w:pPr>
        <w:pStyle w:val="a0"/>
        <w:bidi/>
        <w:rPr>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5FD42F" w14:textId="77777777" w:rsidR="00CB0BDD" w:rsidRDefault="00CB0BDD" w:rsidP="00A5027D">
      <w:pPr>
        <w:spacing w:line="240" w:lineRule="auto"/>
      </w:pPr>
      <w:r>
        <w:separator/>
      </w:r>
    </w:p>
  </w:endnote>
  <w:endnote w:type="continuationSeparator" w:id="0">
    <w:p w14:paraId="582014E5" w14:textId="77777777" w:rsidR="00CB0BDD" w:rsidRDefault="00CB0BD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285376" w:rsidRPr="00285376">
          <w:rPr>
            <w:rFonts w:ascii="mylotus" w:hAnsi="mylotus" w:cs="mylotus"/>
            <w:noProof/>
            <w:color w:val="FF0000"/>
            <w:sz w:val="24"/>
            <w:szCs w:val="24"/>
            <w:rtl/>
            <w:lang w:val="ar-SA"/>
          </w:rPr>
          <w:t>3</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2C57A8" w14:textId="77777777" w:rsidR="00CB0BDD" w:rsidRDefault="00CB0BDD" w:rsidP="00A5027D">
      <w:pPr>
        <w:spacing w:line="240" w:lineRule="auto"/>
      </w:pPr>
      <w:r>
        <w:separator/>
      </w:r>
    </w:p>
  </w:footnote>
  <w:footnote w:type="continuationSeparator" w:id="0">
    <w:p w14:paraId="6FFB9681" w14:textId="77777777" w:rsidR="00CB0BDD" w:rsidRDefault="00CB0BDD" w:rsidP="00A5027D">
      <w:pPr>
        <w:spacing w:line="240" w:lineRule="auto"/>
      </w:pPr>
      <w:r>
        <w:continuationSeparator/>
      </w:r>
    </w:p>
  </w:footnote>
  <w:footnote w:id="1">
    <w:p w14:paraId="4B968933" w14:textId="77777777" w:rsidR="007C659F" w:rsidRDefault="007C659F" w:rsidP="0008341C">
      <w:pPr>
        <w:pStyle w:val="a4"/>
      </w:pPr>
      <w:r w:rsidRPr="00B67AFA">
        <w:rPr>
          <w:rFonts w:hint="cs"/>
          <w:rtl/>
        </w:rPr>
        <w:t>(</w:t>
      </w:r>
      <w:r w:rsidRPr="00B67AFA">
        <w:rPr>
          <w:rStyle w:val="ac"/>
          <w:vertAlign w:val="baseline"/>
        </w:rPr>
        <w:footnoteRef/>
      </w:r>
      <w:r w:rsidRPr="00B67AFA">
        <w:rPr>
          <w:rFonts w:hint="cs"/>
          <w:rtl/>
        </w:rPr>
        <w:t>)</w:t>
      </w:r>
      <w:r>
        <w:rPr>
          <w:rtl/>
        </w:rPr>
        <w:t xml:space="preserve"> </w:t>
      </w:r>
      <w:r>
        <w:rPr>
          <w:rFonts w:hint="cs"/>
          <w:rtl/>
        </w:rPr>
        <w:t xml:space="preserve">راجع: </w:t>
      </w:r>
      <w:r w:rsidRPr="00B67AFA">
        <w:rPr>
          <w:rFonts w:hint="cs"/>
          <w:b/>
          <w:bCs/>
          <w:rtl/>
        </w:rPr>
        <w:t>وسائل الشيعة</w:t>
      </w:r>
      <w:r>
        <w:rPr>
          <w:rFonts w:hint="cs"/>
          <w:rtl/>
        </w:rPr>
        <w:t>، الحر العاملي، الباب 12 من أبواب عقد البيع وشروطه، ح12.</w:t>
      </w:r>
    </w:p>
  </w:footnote>
  <w:footnote w:id="2">
    <w:p w14:paraId="691A5619" w14:textId="77777777" w:rsidR="007C659F" w:rsidRDefault="007C659F" w:rsidP="0008341C">
      <w:pPr>
        <w:pStyle w:val="a4"/>
      </w:pPr>
      <w:r w:rsidRPr="00FD5EFF">
        <w:rPr>
          <w:rFonts w:hint="cs"/>
          <w:rtl/>
        </w:rPr>
        <w:t>(</w:t>
      </w:r>
      <w:r w:rsidRPr="00FD5EFF">
        <w:rPr>
          <w:rStyle w:val="ac"/>
          <w:vertAlign w:val="baseline"/>
        </w:rPr>
        <w:footnoteRef/>
      </w:r>
      <w:r w:rsidRPr="00FD5EFF">
        <w:rPr>
          <w:rFonts w:hint="cs"/>
          <w:rtl/>
        </w:rPr>
        <w:t>)</w:t>
      </w:r>
      <w:r w:rsidRPr="00FD5EFF">
        <w:rPr>
          <w:rtl/>
        </w:rPr>
        <w:t xml:space="preserve"> </w:t>
      </w:r>
      <w:r w:rsidRPr="00FD5EFF">
        <w:rPr>
          <w:rFonts w:hint="cs"/>
          <w:b/>
          <w:bCs/>
          <w:rtl/>
        </w:rPr>
        <w:t>كتاب البيع</w:t>
      </w:r>
      <w:r w:rsidRPr="00FD5EFF">
        <w:rPr>
          <w:rFonts w:hint="cs"/>
          <w:rtl/>
        </w:rPr>
        <w:t xml:space="preserve">، السيد كاظم الحائري، </w:t>
      </w:r>
      <w:r w:rsidRPr="00FD5EFF">
        <w:rPr>
          <w:rFonts w:cs="Simplified Arabic"/>
          <w:rtl/>
          <w:lang w:bidi="ar-BH"/>
        </w:rPr>
        <w:t>ص 413</w:t>
      </w:r>
      <w:r w:rsidRPr="00FD5EFF">
        <w:rPr>
          <w:rFonts w:hint="cs"/>
          <w:rtl/>
        </w:rPr>
        <w:t>.</w:t>
      </w:r>
    </w:p>
  </w:footnote>
  <w:footnote w:id="3">
    <w:p w14:paraId="3265DE7D" w14:textId="77777777" w:rsidR="007C659F" w:rsidRDefault="007C659F" w:rsidP="0008341C">
      <w:pPr>
        <w:pStyle w:val="a4"/>
      </w:pPr>
      <w:r w:rsidRPr="00170FE2">
        <w:rPr>
          <w:rFonts w:hint="cs"/>
          <w:rtl/>
        </w:rPr>
        <w:t>(</w:t>
      </w:r>
      <w:r w:rsidRPr="00170FE2">
        <w:rPr>
          <w:rStyle w:val="ac"/>
          <w:vertAlign w:val="baseline"/>
        </w:rPr>
        <w:footnoteRef/>
      </w:r>
      <w:r w:rsidRPr="00170FE2">
        <w:rPr>
          <w:rFonts w:hint="cs"/>
          <w:rtl/>
        </w:rPr>
        <w:t>)</w:t>
      </w:r>
      <w:r>
        <w:rPr>
          <w:rtl/>
        </w:rPr>
        <w:t xml:space="preserve"> </w:t>
      </w:r>
      <w:r>
        <w:rPr>
          <w:rFonts w:hint="cs"/>
          <w:rtl/>
        </w:rPr>
        <w:t>سورة المائدة: 1.</w:t>
      </w:r>
    </w:p>
  </w:footnote>
  <w:footnote w:id="4">
    <w:p w14:paraId="0F524F22" w14:textId="77777777" w:rsidR="007C659F" w:rsidRDefault="007C659F" w:rsidP="0008341C">
      <w:pPr>
        <w:pStyle w:val="a4"/>
      </w:pPr>
      <w:r w:rsidRPr="005D3FA7">
        <w:rPr>
          <w:rFonts w:hint="cs"/>
          <w:rtl/>
        </w:rPr>
        <w:t>(</w:t>
      </w:r>
      <w:r w:rsidRPr="005D3FA7">
        <w:rPr>
          <w:rStyle w:val="ac"/>
          <w:vertAlign w:val="baseline"/>
        </w:rPr>
        <w:footnoteRef/>
      </w:r>
      <w:r w:rsidRPr="005D3FA7">
        <w:rPr>
          <w:rFonts w:hint="cs"/>
          <w:rtl/>
        </w:rPr>
        <w:t>)</w:t>
      </w:r>
      <w:r>
        <w:rPr>
          <w:rtl/>
        </w:rPr>
        <w:t xml:space="preserve"> </w:t>
      </w:r>
      <w:r>
        <w:rPr>
          <w:rFonts w:hint="cs"/>
          <w:rtl/>
        </w:rPr>
        <w:t xml:space="preserve">سورة </w:t>
      </w:r>
      <w:r>
        <w:rPr>
          <w:rFonts w:cs="Simplified Arabic"/>
          <w:rtl/>
          <w:lang w:bidi="ar-BH"/>
        </w:rPr>
        <w:t>البقرة: ٢٧٩</w:t>
      </w:r>
      <w:r>
        <w:rPr>
          <w:rFonts w:hint="cs"/>
          <w:rtl/>
        </w:rPr>
        <w:t>.</w:t>
      </w:r>
    </w:p>
  </w:footnote>
  <w:footnote w:id="5">
    <w:p w14:paraId="63B272B0" w14:textId="77777777" w:rsidR="007C659F" w:rsidRDefault="007C659F" w:rsidP="0008341C">
      <w:pPr>
        <w:pStyle w:val="a4"/>
      </w:pPr>
      <w:r w:rsidRPr="002603C2">
        <w:rPr>
          <w:rFonts w:hint="cs"/>
          <w:rtl/>
        </w:rPr>
        <w:t>(</w:t>
      </w:r>
      <w:r w:rsidRPr="002603C2">
        <w:rPr>
          <w:rStyle w:val="ac"/>
          <w:vertAlign w:val="baseline"/>
        </w:rPr>
        <w:footnoteRef/>
      </w:r>
      <w:r w:rsidRPr="002603C2">
        <w:rPr>
          <w:rFonts w:hint="cs"/>
          <w:rtl/>
        </w:rPr>
        <w:t>)</w:t>
      </w:r>
      <w:r>
        <w:rPr>
          <w:rtl/>
        </w:rPr>
        <w:t xml:space="preserve"> </w:t>
      </w:r>
      <w:r w:rsidRPr="002603C2">
        <w:rPr>
          <w:rFonts w:hint="cs"/>
          <w:b/>
          <w:bCs/>
          <w:rtl/>
        </w:rPr>
        <w:t>موسوعة السيد الخوئي</w:t>
      </w:r>
      <w:r>
        <w:rPr>
          <w:rFonts w:hint="cs"/>
          <w:rtl/>
        </w:rPr>
        <w:t>، السيد أبو القاسم الخوئي، ج30، ص80.</w:t>
      </w:r>
    </w:p>
  </w:footnote>
  <w:footnote w:id="6">
    <w:p w14:paraId="4FE6B1A3" w14:textId="77777777" w:rsidR="007C659F" w:rsidRDefault="007C659F" w:rsidP="0008341C">
      <w:pPr>
        <w:pStyle w:val="a4"/>
      </w:pPr>
      <w:r w:rsidRPr="00F37A94">
        <w:rPr>
          <w:rFonts w:hint="cs"/>
          <w:rtl/>
        </w:rPr>
        <w:t>(</w:t>
      </w:r>
      <w:r w:rsidRPr="00F37A94">
        <w:rPr>
          <w:rStyle w:val="ac"/>
          <w:vertAlign w:val="baseline"/>
        </w:rPr>
        <w:footnoteRef/>
      </w:r>
      <w:r w:rsidRPr="00F37A94">
        <w:rPr>
          <w:rFonts w:hint="cs"/>
          <w:rtl/>
        </w:rPr>
        <w:t>)</w:t>
      </w:r>
      <w:r>
        <w:rPr>
          <w:rtl/>
        </w:rPr>
        <w:t xml:space="preserve"> </w:t>
      </w:r>
      <w:r>
        <w:rPr>
          <w:rFonts w:hint="cs"/>
          <w:rtl/>
        </w:rPr>
        <w:t xml:space="preserve">راجع: </w:t>
      </w:r>
      <w:r w:rsidRPr="007A2B81">
        <w:rPr>
          <w:rFonts w:hint="cs"/>
          <w:b/>
          <w:bCs/>
          <w:rtl/>
        </w:rPr>
        <w:t>وسائل الشيعة</w:t>
      </w:r>
      <w:r>
        <w:rPr>
          <w:rFonts w:hint="cs"/>
          <w:rtl/>
        </w:rPr>
        <w:t>، الحر العاملي، كتاب التجارة، الباب 2 من أبواب أحكام العقود، ح1.</w:t>
      </w:r>
    </w:p>
  </w:footnote>
  <w:footnote w:id="7">
    <w:p w14:paraId="6039A30A" w14:textId="77777777" w:rsidR="007C659F" w:rsidRDefault="007C659F" w:rsidP="0008341C">
      <w:pPr>
        <w:pStyle w:val="a4"/>
      </w:pPr>
      <w:r w:rsidRPr="00012046">
        <w:rPr>
          <w:rFonts w:hint="cs"/>
          <w:rtl/>
        </w:rPr>
        <w:t>(</w:t>
      </w:r>
      <w:r w:rsidRPr="00012046">
        <w:rPr>
          <w:rStyle w:val="ac"/>
          <w:vertAlign w:val="baseline"/>
        </w:rPr>
        <w:footnoteRef/>
      </w:r>
      <w:r w:rsidRPr="00012046">
        <w:rPr>
          <w:rFonts w:hint="cs"/>
          <w:rtl/>
        </w:rPr>
        <w:t>)</w:t>
      </w:r>
      <w:r>
        <w:rPr>
          <w:rtl/>
        </w:rPr>
        <w:t xml:space="preserve"> </w:t>
      </w:r>
      <w:r>
        <w:rPr>
          <w:rFonts w:hint="cs"/>
          <w:rtl/>
        </w:rPr>
        <w:t xml:space="preserve">راجع: </w:t>
      </w:r>
      <w:r w:rsidRPr="00012046">
        <w:rPr>
          <w:rFonts w:hint="cs"/>
          <w:b/>
          <w:bCs/>
          <w:rtl/>
        </w:rPr>
        <w:t>وسائل الشيعة</w:t>
      </w:r>
      <w:r>
        <w:rPr>
          <w:rFonts w:hint="cs"/>
          <w:rtl/>
        </w:rPr>
        <w:t>، الحر العاملي، كتاب التجارة، الباب 2 من أبواب أحكام العقود، ح2.</w:t>
      </w:r>
    </w:p>
  </w:footnote>
  <w:footnote w:id="8">
    <w:p w14:paraId="1E3094E5" w14:textId="77777777" w:rsidR="007C659F" w:rsidRDefault="007C659F" w:rsidP="0008341C">
      <w:pPr>
        <w:pStyle w:val="a4"/>
      </w:pPr>
      <w:r w:rsidRPr="00CD455A">
        <w:rPr>
          <w:rFonts w:hint="cs"/>
          <w:rtl/>
        </w:rPr>
        <w:t>(</w:t>
      </w:r>
      <w:r w:rsidRPr="00CD455A">
        <w:rPr>
          <w:rStyle w:val="ac"/>
          <w:vertAlign w:val="baseline"/>
        </w:rPr>
        <w:footnoteRef/>
      </w:r>
      <w:r w:rsidRPr="00CD455A">
        <w:rPr>
          <w:rFonts w:hint="cs"/>
          <w:rtl/>
        </w:rPr>
        <w:t>)</w:t>
      </w:r>
      <w:r>
        <w:rPr>
          <w:rtl/>
        </w:rPr>
        <w:t xml:space="preserve"> </w:t>
      </w:r>
      <w:r>
        <w:rPr>
          <w:rFonts w:hint="cs"/>
          <w:rtl/>
        </w:rPr>
        <w:t>سورة النساء: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B7821D8" w:rsidR="00B07F43" w:rsidRDefault="00B8145D" w:rsidP="00D744BC">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sidRPr="00EF47A8">
      <w:rPr>
        <w:rFonts w:ascii="mylotus" w:hAnsi="mylotus" w:cs="mylotus"/>
        <w:color w:val="FF0000"/>
        <w:sz w:val="24"/>
        <w:szCs w:val="24"/>
        <w:rtl/>
      </w:rPr>
      <w:t xml:space="preserve">بحث فقه المسائل المستحدثة </w:t>
    </w:r>
    <w:r w:rsidRPr="00EF47A8">
      <w:rPr>
        <w:rFonts w:ascii="mylotus" w:hAnsi="mylotus" w:cs="mylotus" w:hint="cs"/>
        <w:color w:val="FF0000"/>
        <w:sz w:val="24"/>
        <w:szCs w:val="24"/>
        <w:rtl/>
      </w:rPr>
      <w:t>(</w:t>
    </w:r>
    <w:r w:rsidR="009D718E">
      <w:rPr>
        <w:rFonts w:ascii="mylotus" w:hAnsi="mylotus" w:cs="mylotus" w:hint="cs"/>
        <w:color w:val="FF0000"/>
        <w:sz w:val="24"/>
        <w:szCs w:val="24"/>
        <w:rtl/>
      </w:rPr>
      <w:t>18</w:t>
    </w:r>
    <w:r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BD3045">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9D718E">
      <w:rPr>
        <w:rFonts w:ascii="mylotus" w:hAnsi="mylotus" w:cs="mylotus" w:hint="cs"/>
        <w:color w:val="FF0000"/>
        <w:sz w:val="24"/>
        <w:szCs w:val="24"/>
        <w:rtl/>
      </w:rPr>
      <w:t>7</w:t>
    </w:r>
    <w:r w:rsidR="002F7D24" w:rsidRPr="00EF47A8">
      <w:rPr>
        <w:rFonts w:ascii="mylotus" w:hAnsi="mylotus" w:cs="mylotus"/>
        <w:color w:val="FF0000"/>
        <w:sz w:val="24"/>
        <w:szCs w:val="24"/>
        <w:rtl/>
      </w:rPr>
      <w:t xml:space="preserve"> - ليلة </w:t>
    </w:r>
    <w:r w:rsidR="009D718E">
      <w:rPr>
        <w:rFonts w:ascii="mylotus" w:hAnsi="mylotus" w:cs="mylotus" w:hint="cs"/>
        <w:color w:val="FF0000"/>
        <w:sz w:val="24"/>
        <w:szCs w:val="24"/>
        <w:rtl/>
      </w:rPr>
      <w:t xml:space="preserve">الأحد </w:t>
    </w:r>
    <w:r w:rsidR="00893C35">
      <w:rPr>
        <w:rFonts w:ascii="mylotus" w:hAnsi="mylotus" w:cs="mylotus" w:hint="cs"/>
        <w:color w:val="FF0000"/>
        <w:sz w:val="24"/>
        <w:szCs w:val="24"/>
        <w:rtl/>
      </w:rPr>
      <w:t>2</w:t>
    </w:r>
    <w:r w:rsidR="009D718E">
      <w:rPr>
        <w:rFonts w:ascii="mylotus" w:hAnsi="mylotus" w:cs="mylotus" w:hint="cs"/>
        <w:color w:val="FF0000"/>
        <w:sz w:val="24"/>
        <w:szCs w:val="24"/>
        <w:rtl/>
      </w:rPr>
      <w:t>5</w:t>
    </w:r>
    <w:r w:rsidR="00EA4CCD">
      <w:rPr>
        <w:rFonts w:ascii="mylotus" w:hAnsi="mylotus" w:cs="mylotus" w:hint="cs"/>
        <w:color w:val="FF0000"/>
        <w:sz w:val="24"/>
        <w:szCs w:val="24"/>
        <w:rtl/>
      </w:rPr>
      <w:t xml:space="preserve"> </w:t>
    </w:r>
    <w:r w:rsidRPr="00EF47A8">
      <w:rPr>
        <w:rFonts w:ascii="mylotus" w:hAnsi="mylotus" w:cs="mylotus"/>
        <w:color w:val="FF0000"/>
        <w:sz w:val="24"/>
        <w:szCs w:val="24"/>
        <w:rtl/>
      </w:rPr>
      <w:t>شهر رمضان ١٤٤٧هج</w:t>
    </w:r>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00B07F43" w:rsidRPr="00EF47A8">
      <w:rPr>
        <w:rFonts w:ascii="mylotus" w:hAnsi="mylotus" w:cs="mylotus"/>
        <w:color w:val="FF0000"/>
        <w:sz w:val="24"/>
        <w:szCs w:val="24"/>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5AD1"/>
    <w:rsid w:val="00075B8F"/>
    <w:rsid w:val="0008341C"/>
    <w:rsid w:val="00083EE7"/>
    <w:rsid w:val="00085C01"/>
    <w:rsid w:val="000868A0"/>
    <w:rsid w:val="00086E17"/>
    <w:rsid w:val="00092277"/>
    <w:rsid w:val="000A1086"/>
    <w:rsid w:val="000C2631"/>
    <w:rsid w:val="000E2746"/>
    <w:rsid w:val="000E2AF5"/>
    <w:rsid w:val="000F2D22"/>
    <w:rsid w:val="00102391"/>
    <w:rsid w:val="00104288"/>
    <w:rsid w:val="00111AE8"/>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39C9"/>
    <w:rsid w:val="001D0455"/>
    <w:rsid w:val="001D2C21"/>
    <w:rsid w:val="001D40F0"/>
    <w:rsid w:val="001D761E"/>
    <w:rsid w:val="001E176D"/>
    <w:rsid w:val="001E46A2"/>
    <w:rsid w:val="001F034F"/>
    <w:rsid w:val="001F2C2E"/>
    <w:rsid w:val="001F6237"/>
    <w:rsid w:val="00203D65"/>
    <w:rsid w:val="0021164C"/>
    <w:rsid w:val="00212967"/>
    <w:rsid w:val="002220AA"/>
    <w:rsid w:val="0022294F"/>
    <w:rsid w:val="00225C1C"/>
    <w:rsid w:val="002273AA"/>
    <w:rsid w:val="00231170"/>
    <w:rsid w:val="002333B8"/>
    <w:rsid w:val="002339F1"/>
    <w:rsid w:val="002438AD"/>
    <w:rsid w:val="0024499D"/>
    <w:rsid w:val="002530E6"/>
    <w:rsid w:val="002554DD"/>
    <w:rsid w:val="00255AD7"/>
    <w:rsid w:val="00255E45"/>
    <w:rsid w:val="00257474"/>
    <w:rsid w:val="00265F5E"/>
    <w:rsid w:val="00272291"/>
    <w:rsid w:val="002747D3"/>
    <w:rsid w:val="00285376"/>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7D24"/>
    <w:rsid w:val="003003D1"/>
    <w:rsid w:val="00304E78"/>
    <w:rsid w:val="00307D3B"/>
    <w:rsid w:val="00310FB5"/>
    <w:rsid w:val="00316628"/>
    <w:rsid w:val="003228E8"/>
    <w:rsid w:val="003265B6"/>
    <w:rsid w:val="00330B70"/>
    <w:rsid w:val="00331615"/>
    <w:rsid w:val="00341791"/>
    <w:rsid w:val="00346652"/>
    <w:rsid w:val="0035443E"/>
    <w:rsid w:val="0035715B"/>
    <w:rsid w:val="00377171"/>
    <w:rsid w:val="00382085"/>
    <w:rsid w:val="0038241F"/>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4327"/>
    <w:rsid w:val="00623790"/>
    <w:rsid w:val="006248DE"/>
    <w:rsid w:val="006254BE"/>
    <w:rsid w:val="006333B1"/>
    <w:rsid w:val="00635330"/>
    <w:rsid w:val="00637DBE"/>
    <w:rsid w:val="0064120C"/>
    <w:rsid w:val="006437AD"/>
    <w:rsid w:val="00646A5D"/>
    <w:rsid w:val="00652CA2"/>
    <w:rsid w:val="00657D5F"/>
    <w:rsid w:val="0067710E"/>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14CA1"/>
    <w:rsid w:val="007237A9"/>
    <w:rsid w:val="007268AB"/>
    <w:rsid w:val="007310D4"/>
    <w:rsid w:val="00732DB7"/>
    <w:rsid w:val="00740CF8"/>
    <w:rsid w:val="007419FE"/>
    <w:rsid w:val="00753B14"/>
    <w:rsid w:val="0076539C"/>
    <w:rsid w:val="00776E98"/>
    <w:rsid w:val="00781258"/>
    <w:rsid w:val="00791C2B"/>
    <w:rsid w:val="007926E8"/>
    <w:rsid w:val="007959F8"/>
    <w:rsid w:val="00797282"/>
    <w:rsid w:val="007A1A5D"/>
    <w:rsid w:val="007A59E2"/>
    <w:rsid w:val="007B25DF"/>
    <w:rsid w:val="007C337A"/>
    <w:rsid w:val="007C596C"/>
    <w:rsid w:val="007C659F"/>
    <w:rsid w:val="007C7256"/>
    <w:rsid w:val="007D0635"/>
    <w:rsid w:val="007D0826"/>
    <w:rsid w:val="007D2646"/>
    <w:rsid w:val="007D2DF4"/>
    <w:rsid w:val="007D3C58"/>
    <w:rsid w:val="007D6129"/>
    <w:rsid w:val="007E1713"/>
    <w:rsid w:val="007E4A75"/>
    <w:rsid w:val="007E7BBB"/>
    <w:rsid w:val="007F2A1F"/>
    <w:rsid w:val="007F6B57"/>
    <w:rsid w:val="00806B6F"/>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604C"/>
    <w:rsid w:val="00946D46"/>
    <w:rsid w:val="00950CF6"/>
    <w:rsid w:val="00952DCA"/>
    <w:rsid w:val="0095312D"/>
    <w:rsid w:val="00955C5F"/>
    <w:rsid w:val="00963C62"/>
    <w:rsid w:val="00964B73"/>
    <w:rsid w:val="0096623A"/>
    <w:rsid w:val="0097647D"/>
    <w:rsid w:val="00981BAE"/>
    <w:rsid w:val="009860CA"/>
    <w:rsid w:val="0098687C"/>
    <w:rsid w:val="00991053"/>
    <w:rsid w:val="00994D9F"/>
    <w:rsid w:val="009954B5"/>
    <w:rsid w:val="009B06C8"/>
    <w:rsid w:val="009B1550"/>
    <w:rsid w:val="009B31A9"/>
    <w:rsid w:val="009B6F1C"/>
    <w:rsid w:val="009C701E"/>
    <w:rsid w:val="009D51C1"/>
    <w:rsid w:val="009D718E"/>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045"/>
    <w:rsid w:val="00BD3D69"/>
    <w:rsid w:val="00BD7A64"/>
    <w:rsid w:val="00BF0852"/>
    <w:rsid w:val="00C017CB"/>
    <w:rsid w:val="00C02079"/>
    <w:rsid w:val="00C07328"/>
    <w:rsid w:val="00C17C64"/>
    <w:rsid w:val="00C20D65"/>
    <w:rsid w:val="00C22646"/>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0BDD"/>
    <w:rsid w:val="00CB1F7A"/>
    <w:rsid w:val="00CB5F23"/>
    <w:rsid w:val="00CC72D7"/>
    <w:rsid w:val="00CD4B54"/>
    <w:rsid w:val="00CD4C3D"/>
    <w:rsid w:val="00CE6FAD"/>
    <w:rsid w:val="00CF60B7"/>
    <w:rsid w:val="00D05950"/>
    <w:rsid w:val="00D12BC7"/>
    <w:rsid w:val="00D13826"/>
    <w:rsid w:val="00D23160"/>
    <w:rsid w:val="00D31E52"/>
    <w:rsid w:val="00D744BC"/>
    <w:rsid w:val="00D83D98"/>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5742"/>
    <w:rsid w:val="00FB61E8"/>
    <w:rsid w:val="00FC195A"/>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paragraph" w:styleId="8">
    <w:name w:val="heading 8"/>
    <w:basedOn w:val="a"/>
    <w:next w:val="a"/>
    <w:link w:val="8Char"/>
    <w:uiPriority w:val="9"/>
    <w:semiHidden/>
    <w:unhideWhenUsed/>
    <w:qFormat/>
    <w:rsid w:val="007C659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 w:type="character" w:customStyle="1" w:styleId="8Char">
    <w:name w:val="عنوان 8 Char"/>
    <w:basedOn w:val="a1"/>
    <w:link w:val="8"/>
    <w:uiPriority w:val="9"/>
    <w:rsid w:val="007C659F"/>
    <w:rPr>
      <w:rFonts w:asciiTheme="majorHAnsi" w:eastAsiaTheme="majorEastAsia" w:hAnsiTheme="majorHAnsi" w:cstheme="majorBidi"/>
      <w:color w:val="272727" w:themeColor="text1" w:themeTint="D8"/>
      <w:sz w:val="21"/>
      <w:szCs w:val="21"/>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paragraph" w:styleId="8">
    <w:name w:val="heading 8"/>
    <w:basedOn w:val="a"/>
    <w:next w:val="a"/>
    <w:link w:val="8Char"/>
    <w:uiPriority w:val="9"/>
    <w:semiHidden/>
    <w:unhideWhenUsed/>
    <w:qFormat/>
    <w:rsid w:val="007C659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 w:type="character" w:customStyle="1" w:styleId="8Char">
    <w:name w:val="عنوان 8 Char"/>
    <w:basedOn w:val="a1"/>
    <w:link w:val="8"/>
    <w:uiPriority w:val="9"/>
    <w:rsid w:val="007C659F"/>
    <w:rPr>
      <w:rFonts w:asciiTheme="majorHAnsi" w:eastAsiaTheme="majorEastAsia" w:hAnsiTheme="majorHAnsi" w:cstheme="majorBidi"/>
      <w:color w:val="272727" w:themeColor="text1" w:themeTint="D8"/>
      <w:sz w:val="21"/>
      <w:szCs w:val="21"/>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6442B-7DB9-4D30-8E52-51C663F75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6</Pages>
  <Words>1467</Words>
  <Characters>8364</Characters>
  <Application>Microsoft Office Word</Application>
  <DocSecurity>0</DocSecurity>
  <Lines>69</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2026-03-25T07:41:00Z</cp:lastPrinted>
  <dcterms:created xsi:type="dcterms:W3CDTF">2026-03-29T14:15:00Z</dcterms:created>
  <dcterms:modified xsi:type="dcterms:W3CDTF">2026-03-29T14:16:00Z</dcterms:modified>
</cp:coreProperties>
</file>