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30264BD0" w14:textId="77777777" w:rsidR="00AD3624" w:rsidRDefault="00AD3624" w:rsidP="00AD3624">
      <w:pPr>
        <w:rPr>
          <w:rtl/>
        </w:rPr>
      </w:pPr>
    </w:p>
    <w:p w14:paraId="48374659" w14:textId="77777777" w:rsidR="00AD3624" w:rsidRPr="00AD3624" w:rsidRDefault="00AD3624" w:rsidP="00AD3624">
      <w:pPr>
        <w:pStyle w:val="a0"/>
        <w:bidi/>
        <w:rPr>
          <w:rFonts w:ascii="mylotus" w:hAnsi="mylotus"/>
          <w:b/>
          <w:bCs/>
          <w:sz w:val="34"/>
          <w:szCs w:val="34"/>
          <w:rtl/>
        </w:rPr>
      </w:pPr>
      <w:r w:rsidRPr="00AD3624">
        <w:rPr>
          <w:rFonts w:ascii="mylotus" w:hAnsi="mylotus"/>
          <w:b/>
          <w:bCs/>
          <w:sz w:val="34"/>
          <w:szCs w:val="34"/>
          <w:rtl/>
          <w:lang w:bidi="ar-BH"/>
        </w:rPr>
        <w:t>المحذور الثالث: بيع المكيل والموزون بربح قبل قبضه</w:t>
      </w:r>
    </w:p>
    <w:p w14:paraId="0B92B1BB" w14:textId="77777777" w:rsidR="00AD3624" w:rsidRPr="00AD3624" w:rsidRDefault="00AD3624" w:rsidP="00AD3624">
      <w:pPr>
        <w:pStyle w:val="a0"/>
        <w:bidi/>
        <w:rPr>
          <w:rFonts w:ascii="mylotus" w:hAnsi="mylotus"/>
          <w:sz w:val="34"/>
          <w:szCs w:val="34"/>
          <w:rtl/>
        </w:rPr>
      </w:pPr>
      <w:r w:rsidRPr="00AD3624">
        <w:rPr>
          <w:rFonts w:ascii="mylotus" w:hAnsi="mylotus"/>
          <w:sz w:val="34"/>
          <w:szCs w:val="34"/>
          <w:rtl/>
          <w:lang w:bidi="ar-BH"/>
        </w:rPr>
        <w:t>إن مورد هذا المحذور تداول الأسهم</w:t>
      </w:r>
      <w:r w:rsidRPr="00AD3624">
        <w:rPr>
          <w:rFonts w:ascii="mylotus" w:hAnsi="mylotus"/>
          <w:sz w:val="34"/>
          <w:szCs w:val="34"/>
          <w:rtl/>
        </w:rPr>
        <w:t>،</w:t>
      </w:r>
      <w:r w:rsidRPr="00AD3624">
        <w:rPr>
          <w:rFonts w:ascii="mylotus" w:hAnsi="mylotus"/>
          <w:sz w:val="34"/>
          <w:szCs w:val="34"/>
          <w:rtl/>
          <w:lang w:bidi="ar-BH"/>
        </w:rPr>
        <w:t xml:space="preserve"> وهو ليس بخاص بمعاملة الرافعة المالية</w:t>
      </w:r>
      <w:r w:rsidRPr="00AD3624">
        <w:rPr>
          <w:rFonts w:ascii="mylotus" w:hAnsi="mylotus"/>
          <w:sz w:val="34"/>
          <w:szCs w:val="34"/>
          <w:rtl/>
        </w:rPr>
        <w:t xml:space="preserve">. </w:t>
      </w:r>
      <w:r w:rsidRPr="00AD3624">
        <w:rPr>
          <w:rFonts w:ascii="mylotus" w:hAnsi="mylotus"/>
          <w:sz w:val="34"/>
          <w:szCs w:val="34"/>
          <w:rtl/>
          <w:lang w:bidi="ar-BH"/>
        </w:rPr>
        <w:t>وتوضيحه: إن الأسهم على نوعين:</w:t>
      </w:r>
      <w:r w:rsidRPr="00AD3624">
        <w:rPr>
          <w:rFonts w:ascii="mylotus" w:hAnsi="mylotus"/>
          <w:sz w:val="34"/>
          <w:szCs w:val="34"/>
          <w:rtl/>
        </w:rPr>
        <w:t xml:space="preserve"> </w:t>
      </w:r>
      <w:r w:rsidRPr="00AD3624">
        <w:rPr>
          <w:rFonts w:ascii="mylotus" w:hAnsi="mylotus"/>
          <w:sz w:val="34"/>
          <w:szCs w:val="34"/>
          <w:rtl/>
          <w:lang w:bidi="ar-BH"/>
        </w:rPr>
        <w:t>أسهمٌ حقيقيّةٌ وأسهم اعتبارية.</w:t>
      </w:r>
    </w:p>
    <w:p w14:paraId="15B90DE8" w14:textId="77777777" w:rsidR="00AD3624" w:rsidRPr="00AD3624" w:rsidRDefault="00AD3624" w:rsidP="00AD3624">
      <w:pPr>
        <w:pStyle w:val="a0"/>
        <w:bidi/>
        <w:rPr>
          <w:rFonts w:ascii="mylotus" w:hAnsi="mylotus"/>
          <w:sz w:val="34"/>
          <w:szCs w:val="34"/>
          <w:rtl/>
        </w:rPr>
      </w:pPr>
      <w:r w:rsidRPr="00AD3624">
        <w:rPr>
          <w:rFonts w:ascii="mylotus" w:hAnsi="mylotus"/>
          <w:sz w:val="34"/>
          <w:szCs w:val="34"/>
          <w:rtl/>
          <w:lang w:bidi="ar-BH"/>
        </w:rPr>
        <w:t>فالأسهمُ الحقيقيّةُ: هي ما كانت تشير لملكية مشاعة في المعادن، أو</w:t>
      </w:r>
      <w:r w:rsidRPr="00AD3624">
        <w:rPr>
          <w:rFonts w:ascii="mylotus" w:hAnsi="mylotus"/>
          <w:sz w:val="34"/>
          <w:szCs w:val="34"/>
          <w:rtl/>
        </w:rPr>
        <w:t xml:space="preserve"> </w:t>
      </w:r>
      <w:r w:rsidRPr="00AD3624">
        <w:rPr>
          <w:rFonts w:ascii="mylotus" w:hAnsi="mylotus"/>
          <w:sz w:val="34"/>
          <w:szCs w:val="34"/>
          <w:rtl/>
          <w:lang w:bidi="ar-BH"/>
        </w:rPr>
        <w:t>الذّهب والفضّة، أو الطّاقات كالغّاز والكهرباء وما أشبه ذلك. وأمّا الأسهمُ الاعتباريّةُ: فهي ما كانت من قبيل المزايا المنتزعة من المكانة السّوقيّة للبنك أو</w:t>
      </w:r>
      <w:r w:rsidRPr="00AD3624">
        <w:rPr>
          <w:rFonts w:ascii="mylotus" w:hAnsi="mylotus"/>
          <w:sz w:val="34"/>
          <w:szCs w:val="34"/>
          <w:rtl/>
        </w:rPr>
        <w:t xml:space="preserve"> </w:t>
      </w:r>
      <w:r w:rsidRPr="00AD3624">
        <w:rPr>
          <w:rFonts w:ascii="mylotus" w:hAnsi="mylotus"/>
          <w:sz w:val="34"/>
          <w:szCs w:val="34"/>
          <w:rtl/>
          <w:lang w:bidi="ar-BH"/>
        </w:rPr>
        <w:t>الشّركة. فإذا افتُرض أنّ شركة أو بنكًا أصبحت له مكانةٌ في عالم المال،</w:t>
      </w:r>
      <w:r w:rsidRPr="00AD3624">
        <w:rPr>
          <w:rFonts w:ascii="mylotus" w:hAnsi="mylotus"/>
          <w:sz w:val="34"/>
          <w:szCs w:val="34"/>
          <w:rtl/>
        </w:rPr>
        <w:t xml:space="preserve"> </w:t>
      </w:r>
      <w:r w:rsidRPr="00AD3624">
        <w:rPr>
          <w:rFonts w:ascii="mylotus" w:hAnsi="mylotus"/>
          <w:sz w:val="34"/>
          <w:szCs w:val="34"/>
          <w:rtl/>
          <w:lang w:bidi="ar-BH"/>
        </w:rPr>
        <w:t xml:space="preserve">فتكونت لاسمه سمة تجارية وامتياز تبذل </w:t>
      </w:r>
      <w:proofErr w:type="spellStart"/>
      <w:r w:rsidRPr="00AD3624">
        <w:rPr>
          <w:rFonts w:ascii="mylotus" w:hAnsi="mylotus"/>
          <w:sz w:val="34"/>
          <w:szCs w:val="34"/>
          <w:rtl/>
          <w:lang w:bidi="ar-BH"/>
        </w:rPr>
        <w:t>بإزا</w:t>
      </w:r>
      <w:proofErr w:type="spellEnd"/>
      <w:r w:rsidRPr="00AD3624">
        <w:rPr>
          <w:rFonts w:ascii="mylotus" w:hAnsi="mylotus"/>
          <w:sz w:val="34"/>
          <w:szCs w:val="34"/>
          <w:rtl/>
        </w:rPr>
        <w:t>ئ</w:t>
      </w:r>
      <w:r w:rsidRPr="00AD3624">
        <w:rPr>
          <w:rFonts w:ascii="mylotus" w:hAnsi="mylotus"/>
          <w:sz w:val="34"/>
          <w:szCs w:val="34"/>
          <w:rtl/>
          <w:lang w:bidi="ar-BH"/>
        </w:rPr>
        <w:t>ها الأموال، فشراءُ سهمٍ من هذه السمة لا يعني أنّ ما</w:t>
      </w:r>
      <w:r w:rsidRPr="00AD3624">
        <w:rPr>
          <w:rFonts w:ascii="mylotus" w:hAnsi="mylotus"/>
          <w:sz w:val="34"/>
          <w:szCs w:val="34"/>
          <w:rtl/>
        </w:rPr>
        <w:t xml:space="preserve"> </w:t>
      </w:r>
      <w:r w:rsidRPr="00AD3624">
        <w:rPr>
          <w:rFonts w:ascii="mylotus" w:hAnsi="mylotus"/>
          <w:sz w:val="34"/>
          <w:szCs w:val="34"/>
          <w:rtl/>
          <w:lang w:bidi="ar-BH"/>
        </w:rPr>
        <w:t>بإزاء ذلك حصّةٌ من عينٍ خارجيّةٍ، وإنّما</w:t>
      </w:r>
      <w:r w:rsidRPr="00AD3624">
        <w:rPr>
          <w:rFonts w:ascii="mylotus" w:hAnsi="mylotus"/>
          <w:sz w:val="34"/>
          <w:szCs w:val="34"/>
          <w:rtl/>
        </w:rPr>
        <w:t xml:space="preserve"> </w:t>
      </w:r>
      <w:r w:rsidRPr="00AD3624">
        <w:rPr>
          <w:rFonts w:ascii="mylotus" w:hAnsi="mylotus"/>
          <w:sz w:val="34"/>
          <w:szCs w:val="34"/>
          <w:rtl/>
          <w:lang w:bidi="ar-BH"/>
        </w:rPr>
        <w:t>هو عبارةٌ عن ميزة وحقٍّ في شعار أو سمة معينة. وبالتالي فإن كان يعد بالنظر العقلائي من الأموال صحت المعاملة عليه.</w:t>
      </w:r>
    </w:p>
    <w:p w14:paraId="77572EE1" w14:textId="77777777" w:rsidR="00AD3624" w:rsidRPr="00AD3624" w:rsidRDefault="00AD3624" w:rsidP="00AD3624">
      <w:pPr>
        <w:pStyle w:val="a0"/>
        <w:bidi/>
        <w:rPr>
          <w:rFonts w:ascii="mylotus" w:hAnsi="mylotus"/>
          <w:sz w:val="34"/>
          <w:szCs w:val="34"/>
          <w:rtl/>
        </w:rPr>
      </w:pPr>
      <w:r w:rsidRPr="00AD3624">
        <w:rPr>
          <w:rFonts w:ascii="mylotus" w:hAnsi="mylotus"/>
          <w:sz w:val="34"/>
          <w:szCs w:val="34"/>
          <w:rtl/>
          <w:lang w:bidi="ar-BH"/>
        </w:rPr>
        <w:t>وأما الأسهم الحقيقيّة، فيأتي فيها التفصيل الفقهي</w:t>
      </w:r>
      <w:r w:rsidRPr="00AD3624">
        <w:rPr>
          <w:rFonts w:ascii="mylotus" w:hAnsi="mylotus"/>
          <w:sz w:val="34"/>
          <w:szCs w:val="34"/>
          <w:rtl/>
        </w:rPr>
        <w:t>،</w:t>
      </w:r>
      <w:r w:rsidRPr="00AD3624">
        <w:rPr>
          <w:rFonts w:ascii="mylotus" w:hAnsi="mylotus"/>
          <w:sz w:val="34"/>
          <w:szCs w:val="34"/>
          <w:rtl/>
          <w:lang w:bidi="ar-BH"/>
        </w:rPr>
        <w:t xml:space="preserve"> وهو أن المبيعَ -إن كان ممّا يُكال أو يُوزن- لا يصحُّ بيعُه على غير بائعه بربحٍ قبل قبضه، ولا بأس ببيعه تولية. والكلامُ في ذلك يقع في مطالب:</w:t>
      </w:r>
    </w:p>
    <w:p w14:paraId="66AE7761" w14:textId="025C3D9F" w:rsidR="00AD3624" w:rsidRPr="00AD3624" w:rsidRDefault="00AD3624" w:rsidP="00AD3624">
      <w:pPr>
        <w:pStyle w:val="a0"/>
        <w:bidi/>
        <w:rPr>
          <w:rFonts w:ascii="mylotus" w:hAnsi="mylotus"/>
          <w:sz w:val="34"/>
          <w:szCs w:val="34"/>
          <w:rtl/>
        </w:rPr>
      </w:pPr>
      <w:r w:rsidRPr="00AD3624">
        <w:rPr>
          <w:rFonts w:ascii="mylotus" w:hAnsi="mylotus"/>
          <w:b/>
          <w:bCs/>
          <w:sz w:val="34"/>
          <w:szCs w:val="34"/>
          <w:rtl/>
          <w:lang w:bidi="ar-BH"/>
        </w:rPr>
        <w:t>المطلب الأول: في التفصيل بين المكيل والموزون وغيرهما بعدم صحة بيعهما بربح لغير البائع قبل قبضه</w:t>
      </w:r>
      <w:r w:rsidRPr="00AD3624">
        <w:rPr>
          <w:rFonts w:ascii="mylotus" w:hAnsi="mylotus"/>
          <w:b/>
          <w:bCs/>
          <w:sz w:val="34"/>
          <w:szCs w:val="34"/>
          <w:rtl/>
        </w:rPr>
        <w:t>،</w:t>
      </w:r>
      <w:r w:rsidRPr="00AD3624">
        <w:rPr>
          <w:rFonts w:ascii="mylotus" w:hAnsi="mylotus"/>
          <w:sz w:val="34"/>
          <w:szCs w:val="34"/>
          <w:rtl/>
        </w:rPr>
        <w:t xml:space="preserve"> فقد </w:t>
      </w:r>
      <w:r w:rsidRPr="00AD3624">
        <w:rPr>
          <w:rFonts w:ascii="mylotus" w:hAnsi="mylotus"/>
          <w:sz w:val="34"/>
          <w:szCs w:val="34"/>
          <w:rtl/>
          <w:lang w:bidi="ar-BH"/>
        </w:rPr>
        <w:t>ذكر سيّدُنا الخوئيّ (قدّس سرُّه) في المنهاج: "إذا اشترى شيئًا ولم يقبضه، فإن كان ممّا لا يُكال ولا يُوزن جاز بيعُه قبل قبضه"</w:t>
      </w:r>
      <w:r w:rsidRPr="00AD3624">
        <w:rPr>
          <w:rFonts w:ascii="mylotus" w:hAnsi="mylotus"/>
          <w:sz w:val="34"/>
          <w:szCs w:val="34"/>
          <w:vertAlign w:val="superscript"/>
          <w:rtl/>
        </w:rPr>
        <w:t>(</w:t>
      </w:r>
      <w:r w:rsidRPr="00AD3624">
        <w:rPr>
          <w:rStyle w:val="ac"/>
          <w:rFonts w:ascii="mylotus" w:hAnsi="mylotus"/>
          <w:sz w:val="34"/>
          <w:szCs w:val="34"/>
          <w:rtl/>
        </w:rPr>
        <w:footnoteReference w:id="1"/>
      </w:r>
      <w:r w:rsidRPr="00AD3624">
        <w:rPr>
          <w:rFonts w:ascii="mylotus" w:hAnsi="mylotus"/>
          <w:sz w:val="34"/>
          <w:szCs w:val="34"/>
          <w:vertAlign w:val="superscript"/>
          <w:rtl/>
        </w:rPr>
        <w:t>)</w:t>
      </w:r>
      <w:r w:rsidRPr="00AD3624">
        <w:rPr>
          <w:rFonts w:ascii="mylotus" w:hAnsi="mylotus"/>
          <w:sz w:val="34"/>
          <w:szCs w:val="34"/>
          <w:rtl/>
          <w:lang w:bidi="ar-BH"/>
        </w:rPr>
        <w:t>؛ بمقتضى العمومات، مضافًا إلى النّصّ الخاصّ في هذه المسألة، وهي معتبرةُ منصور بن حازم، قال: سألتُ أبا عبد الله (عليه السّلام) عن رجلٍ اشترى بيعًا ليس فيه كيلٌ ولا وزنٌ أله أن يبيعه مرابحةً قبل أن يقبضه ويأخذ ربحه؟ فقال: "</w:t>
      </w:r>
      <w:r w:rsidRPr="00AD3624">
        <w:rPr>
          <w:rFonts w:ascii="mylotus" w:hAnsi="mylotus"/>
          <w:sz w:val="34"/>
          <w:szCs w:val="34"/>
          <w:rtl/>
        </w:rPr>
        <w:t>ل</w:t>
      </w:r>
      <w:r w:rsidRPr="00AD3624">
        <w:rPr>
          <w:rFonts w:ascii="mylotus" w:hAnsi="mylotus"/>
          <w:sz w:val="34"/>
          <w:szCs w:val="34"/>
          <w:rtl/>
          <w:lang w:bidi="ar-BH"/>
        </w:rPr>
        <w:t xml:space="preserve">اَ بَأْسَ بِذَلِكَ مَا لَمْ يَكُنْ كَيْلٌ </w:t>
      </w:r>
      <w:r w:rsidRPr="00AD3624">
        <w:rPr>
          <w:rFonts w:ascii="mylotus" w:hAnsi="mylotus" w:hint="cs"/>
          <w:sz w:val="34"/>
          <w:szCs w:val="34"/>
          <w:rtl/>
          <w:lang w:bidi="ar-BH"/>
        </w:rPr>
        <w:t>ولاَ</w:t>
      </w:r>
      <w:r w:rsidRPr="00AD3624">
        <w:rPr>
          <w:rFonts w:ascii="mylotus" w:hAnsi="mylotus"/>
          <w:sz w:val="34"/>
          <w:szCs w:val="34"/>
          <w:rtl/>
          <w:lang w:bidi="ar-BH"/>
        </w:rPr>
        <w:t xml:space="preserve"> وَزْنٌ فَإِنْ هُوَ قَبَضَهُ فَهُوَ أَبْرَأُ لِنَفْسِهِ</w:t>
      </w:r>
      <w:r w:rsidRPr="00AD3624">
        <w:rPr>
          <w:rFonts w:ascii="Times New Roman" w:hAnsi="Times New Roman" w:cs="Times New Roman" w:hint="cs"/>
          <w:sz w:val="34"/>
          <w:szCs w:val="34"/>
          <w:rtl/>
          <w:lang w:bidi="ar-BH"/>
        </w:rPr>
        <w:t>‌</w:t>
      </w:r>
      <w:r w:rsidRPr="00AD3624">
        <w:rPr>
          <w:rFonts w:ascii="mylotus" w:hAnsi="mylotus"/>
          <w:sz w:val="34"/>
          <w:szCs w:val="34"/>
          <w:rtl/>
          <w:lang w:bidi="ar-BH"/>
        </w:rPr>
        <w:t>"</w:t>
      </w:r>
      <w:r w:rsidRPr="00AD3624">
        <w:rPr>
          <w:rFonts w:ascii="mylotus" w:hAnsi="mylotus"/>
          <w:sz w:val="34"/>
          <w:szCs w:val="34"/>
          <w:vertAlign w:val="superscript"/>
          <w:rtl/>
        </w:rPr>
        <w:t>(</w:t>
      </w:r>
      <w:r w:rsidRPr="00AD3624">
        <w:rPr>
          <w:rStyle w:val="ac"/>
          <w:rFonts w:ascii="mylotus" w:hAnsi="mylotus"/>
          <w:sz w:val="34"/>
          <w:szCs w:val="34"/>
          <w:rtl/>
        </w:rPr>
        <w:footnoteReference w:id="2"/>
      </w:r>
      <w:r w:rsidRPr="00AD3624">
        <w:rPr>
          <w:rFonts w:ascii="mylotus" w:hAnsi="mylotus"/>
          <w:sz w:val="34"/>
          <w:szCs w:val="34"/>
          <w:vertAlign w:val="superscript"/>
          <w:rtl/>
        </w:rPr>
        <w:t>)</w:t>
      </w:r>
      <w:r w:rsidRPr="00AD3624">
        <w:rPr>
          <w:rFonts w:ascii="mylotus" w:hAnsi="mylotus"/>
          <w:sz w:val="34"/>
          <w:szCs w:val="34"/>
          <w:rtl/>
          <w:lang w:bidi="ar-BH"/>
        </w:rPr>
        <w:t>؛ أي أنّ القبضَ أكثرُ ضمانًا لكنّه ليس شرطًا.</w:t>
      </w:r>
    </w:p>
    <w:p w14:paraId="4E26B800" w14:textId="77777777" w:rsidR="00AD3624" w:rsidRPr="00AD3624" w:rsidRDefault="00AD3624" w:rsidP="00AD3624">
      <w:pPr>
        <w:pStyle w:val="a0"/>
        <w:bidi/>
        <w:rPr>
          <w:rFonts w:ascii="mylotus" w:hAnsi="mylotus"/>
          <w:sz w:val="34"/>
          <w:szCs w:val="34"/>
          <w:rtl/>
        </w:rPr>
      </w:pPr>
      <w:r w:rsidRPr="00AD3624">
        <w:rPr>
          <w:rFonts w:ascii="mylotus" w:hAnsi="mylotus"/>
          <w:sz w:val="34"/>
          <w:szCs w:val="34"/>
          <w:rtl/>
          <w:lang w:bidi="ar-BH"/>
        </w:rPr>
        <w:lastRenderedPageBreak/>
        <w:t>وإن كان مما</w:t>
      </w:r>
      <w:r w:rsidRPr="00AD3624">
        <w:rPr>
          <w:rFonts w:ascii="mylotus" w:hAnsi="mylotus"/>
          <w:sz w:val="34"/>
          <w:szCs w:val="34"/>
          <w:rtl/>
        </w:rPr>
        <w:t xml:space="preserve"> </w:t>
      </w:r>
      <w:r w:rsidRPr="00AD3624">
        <w:rPr>
          <w:rFonts w:ascii="mylotus" w:hAnsi="mylotus"/>
          <w:sz w:val="34"/>
          <w:szCs w:val="34"/>
          <w:rtl/>
          <w:lang w:bidi="ar-BH"/>
        </w:rPr>
        <w:t>يكال أو</w:t>
      </w:r>
      <w:r w:rsidRPr="00AD3624">
        <w:rPr>
          <w:rFonts w:ascii="mylotus" w:hAnsi="mylotus"/>
          <w:sz w:val="34"/>
          <w:szCs w:val="34"/>
          <w:rtl/>
        </w:rPr>
        <w:t xml:space="preserve"> </w:t>
      </w:r>
      <w:r w:rsidRPr="00AD3624">
        <w:rPr>
          <w:rFonts w:ascii="mylotus" w:hAnsi="mylotus"/>
          <w:sz w:val="34"/>
          <w:szCs w:val="34"/>
          <w:rtl/>
          <w:lang w:bidi="ar-BH"/>
        </w:rPr>
        <w:t>يوزن فلا</w:t>
      </w:r>
      <w:r w:rsidRPr="00AD3624">
        <w:rPr>
          <w:rFonts w:ascii="mylotus" w:hAnsi="mylotus"/>
          <w:sz w:val="34"/>
          <w:szCs w:val="34"/>
          <w:rtl/>
        </w:rPr>
        <w:t xml:space="preserve"> </w:t>
      </w:r>
      <w:r w:rsidRPr="00AD3624">
        <w:rPr>
          <w:rFonts w:ascii="mylotus" w:hAnsi="mylotus"/>
          <w:sz w:val="34"/>
          <w:szCs w:val="34"/>
          <w:rtl/>
          <w:lang w:bidi="ar-BH"/>
        </w:rPr>
        <w:t>يجوز بيعه بربح على غير بائعه قبل قبضه</w:t>
      </w:r>
      <w:r w:rsidRPr="00AD3624">
        <w:rPr>
          <w:rFonts w:ascii="mylotus" w:hAnsi="mylotus"/>
          <w:sz w:val="34"/>
          <w:szCs w:val="34"/>
          <w:rtl/>
        </w:rPr>
        <w:t>؛</w:t>
      </w:r>
      <w:r w:rsidRPr="00AD3624">
        <w:rPr>
          <w:rFonts w:ascii="mylotus" w:hAnsi="mylotus"/>
          <w:sz w:val="34"/>
          <w:szCs w:val="34"/>
          <w:rtl/>
          <w:lang w:bidi="ar-BH"/>
        </w:rPr>
        <w:t xml:space="preserve"> لعدة روايات: منها صحيحةُ منصور بن حازم عن أبي عبد الله (عليه السّلام) قال: "إِذَا اِشْتَرَيْتَ مَتَاعاً فِيهِ كَيْلٌ أَوْ وَزْنٌ فَلاَ تَبِعْهُ حَتَّى تَقْبِضَهُ إِلاَّ أَنْ تُوَلِّيَهُ -أي بلا ربح-</w:t>
      </w:r>
      <w:r w:rsidRPr="00AD3624">
        <w:rPr>
          <w:rFonts w:ascii="mylotus" w:hAnsi="mylotus"/>
          <w:sz w:val="34"/>
          <w:szCs w:val="34"/>
          <w:rtl/>
        </w:rPr>
        <w:t xml:space="preserve"> </w:t>
      </w:r>
      <w:r w:rsidRPr="00AD3624">
        <w:rPr>
          <w:rFonts w:ascii="mylotus" w:hAnsi="mylotus"/>
          <w:sz w:val="34"/>
          <w:szCs w:val="34"/>
          <w:rtl/>
          <w:lang w:bidi="ar-BH"/>
        </w:rPr>
        <w:t>فَإِنْ لَمْ يَكُنْ فِيهِ كَيْلٌ وَلاَ وَزْنٌ فَبِعْه</w:t>
      </w:r>
      <w:r w:rsidRPr="00AD3624">
        <w:rPr>
          <w:rFonts w:ascii="mylotus" w:hAnsi="mylotus"/>
          <w:sz w:val="34"/>
          <w:szCs w:val="34"/>
          <w:rtl/>
        </w:rPr>
        <w:t>"</w:t>
      </w:r>
      <w:r w:rsidRPr="00AD3624">
        <w:rPr>
          <w:rFonts w:ascii="mylotus" w:hAnsi="mylotus"/>
          <w:sz w:val="34"/>
          <w:szCs w:val="34"/>
          <w:vertAlign w:val="superscript"/>
          <w:rtl/>
        </w:rPr>
        <w:t>(</w:t>
      </w:r>
      <w:r w:rsidRPr="00AD3624">
        <w:rPr>
          <w:rStyle w:val="ac"/>
          <w:rFonts w:ascii="mylotus" w:hAnsi="mylotus"/>
          <w:sz w:val="34"/>
          <w:szCs w:val="34"/>
          <w:rtl/>
        </w:rPr>
        <w:footnoteReference w:id="3"/>
      </w:r>
      <w:r w:rsidRPr="00AD3624">
        <w:rPr>
          <w:rFonts w:ascii="mylotus" w:hAnsi="mylotus"/>
          <w:sz w:val="34"/>
          <w:szCs w:val="34"/>
          <w:vertAlign w:val="superscript"/>
          <w:rtl/>
        </w:rPr>
        <w:t>)</w:t>
      </w:r>
      <w:r w:rsidRPr="00AD3624">
        <w:rPr>
          <w:rFonts w:ascii="mylotus" w:hAnsi="mylotus"/>
          <w:sz w:val="34"/>
          <w:szCs w:val="34"/>
          <w:rtl/>
        </w:rPr>
        <w:t>.</w:t>
      </w:r>
    </w:p>
    <w:p w14:paraId="3E6DCA31" w14:textId="77777777" w:rsidR="00AD3624" w:rsidRPr="001C0AFD" w:rsidRDefault="00AD3624" w:rsidP="00AD3624">
      <w:pPr>
        <w:pStyle w:val="a0"/>
        <w:bidi/>
        <w:rPr>
          <w:rFonts w:ascii="mylotus" w:hAnsi="mylotus"/>
          <w:b/>
          <w:bCs/>
          <w:sz w:val="34"/>
          <w:szCs w:val="34"/>
          <w:rtl/>
        </w:rPr>
      </w:pPr>
      <w:r w:rsidRPr="001C0AFD">
        <w:rPr>
          <w:rFonts w:ascii="mylotus" w:hAnsi="mylotus"/>
          <w:b/>
          <w:bCs/>
          <w:sz w:val="34"/>
          <w:szCs w:val="34"/>
          <w:rtl/>
          <w:lang w:bidi="ar-BH"/>
        </w:rPr>
        <w:t xml:space="preserve">المطلب الثاني: في ضابطة المكيل </w:t>
      </w:r>
      <w:proofErr w:type="spellStart"/>
      <w:r w:rsidRPr="001C0AFD">
        <w:rPr>
          <w:rFonts w:ascii="mylotus" w:hAnsi="mylotus"/>
          <w:b/>
          <w:bCs/>
          <w:sz w:val="34"/>
          <w:szCs w:val="34"/>
          <w:rtl/>
          <w:lang w:bidi="ar-BH"/>
        </w:rPr>
        <w:t>والموزو</w:t>
      </w:r>
      <w:proofErr w:type="spellEnd"/>
      <w:r w:rsidRPr="001C0AFD">
        <w:rPr>
          <w:rFonts w:ascii="mylotus" w:hAnsi="mylotus"/>
          <w:b/>
          <w:bCs/>
          <w:sz w:val="34"/>
          <w:szCs w:val="34"/>
          <w:rtl/>
        </w:rPr>
        <w:t>ن</w:t>
      </w:r>
    </w:p>
    <w:p w14:paraId="14F28CC0" w14:textId="77777777" w:rsidR="00AD3624" w:rsidRPr="00AD3624" w:rsidRDefault="00AD3624" w:rsidP="00AD3624">
      <w:pPr>
        <w:pStyle w:val="a0"/>
        <w:bidi/>
        <w:rPr>
          <w:rFonts w:ascii="mylotus" w:hAnsi="mylotus"/>
          <w:sz w:val="34"/>
          <w:szCs w:val="34"/>
          <w:rtl/>
        </w:rPr>
      </w:pPr>
      <w:r w:rsidRPr="00AD3624">
        <w:rPr>
          <w:rFonts w:ascii="mylotus" w:hAnsi="mylotus"/>
          <w:sz w:val="34"/>
          <w:szCs w:val="34"/>
          <w:rtl/>
          <w:lang w:bidi="ar-BH"/>
        </w:rPr>
        <w:t>إن هذه النقطة من البحوث السيالة في كثير من الموارد نحو ضابطة أداة القمار وأداة اللهو وعنوان القوت وغيرها</w:t>
      </w:r>
      <w:r w:rsidRPr="00AD3624">
        <w:rPr>
          <w:rFonts w:ascii="mylotus" w:hAnsi="mylotus"/>
          <w:sz w:val="34"/>
          <w:szCs w:val="34"/>
          <w:rtl/>
        </w:rPr>
        <w:t>،</w:t>
      </w:r>
      <w:r w:rsidRPr="00AD3624">
        <w:rPr>
          <w:rFonts w:ascii="mylotus" w:hAnsi="mylotus"/>
          <w:sz w:val="34"/>
          <w:szCs w:val="34"/>
          <w:rtl/>
          <w:lang w:bidi="ar-BH"/>
        </w:rPr>
        <w:t xml:space="preserve"> وقد نسب صاحبُ الحدائق (رحمه الله) إلى المشهور أنّ المناطَ في المكيل والموزون والمعدود هو العرف زمان النّبيّ (صلّى الله عليه وآله)؛ فكلُّ شيءٍ كان مكيلاً أو موزونًا في زمانه فهو كذلك</w:t>
      </w:r>
      <w:r w:rsidRPr="00AD3624">
        <w:rPr>
          <w:rFonts w:ascii="mylotus" w:hAnsi="mylotus"/>
          <w:sz w:val="34"/>
          <w:szCs w:val="34"/>
          <w:rtl/>
        </w:rPr>
        <w:t>،</w:t>
      </w:r>
      <w:r w:rsidRPr="00AD3624">
        <w:rPr>
          <w:rFonts w:ascii="mylotus" w:hAnsi="mylotus"/>
          <w:sz w:val="34"/>
          <w:szCs w:val="34"/>
          <w:rtl/>
          <w:lang w:bidi="ar-BH"/>
        </w:rPr>
        <w:t xml:space="preserve"> فإذا لم يُعلَم حاله زمان النّبيّ ص فلا بدّ من ملاحظة العادة في جميع البلدان، فإن كان في جميعها مكيلاً أو موزونًا فيُعامل معه معاملة المكيل والموزون، وإن كان في بعض البلاد الصّغيرة ليس كذلك</w:t>
      </w:r>
      <w:r w:rsidRPr="00AD3624">
        <w:rPr>
          <w:rFonts w:ascii="mylotus" w:hAnsi="mylotus"/>
          <w:sz w:val="34"/>
          <w:szCs w:val="34"/>
          <w:rtl/>
        </w:rPr>
        <w:t>،</w:t>
      </w:r>
      <w:r w:rsidRPr="00AD3624">
        <w:rPr>
          <w:rFonts w:ascii="mylotus" w:hAnsi="mylotus"/>
          <w:sz w:val="34"/>
          <w:szCs w:val="34"/>
          <w:rtl/>
          <w:lang w:bidi="ar-BH"/>
        </w:rPr>
        <w:t xml:space="preserve"> وإذا فرض أنّ البلدان مختلفةٌ فاللازمُ مراعاةُ المتعارف في كلّ بلدٍ بخصوصه، فقد</w:t>
      </w:r>
      <w:r w:rsidRPr="00AD3624">
        <w:rPr>
          <w:rFonts w:ascii="mylotus" w:hAnsi="mylotus"/>
          <w:sz w:val="34"/>
          <w:szCs w:val="34"/>
          <w:rtl/>
        </w:rPr>
        <w:t xml:space="preserve"> </w:t>
      </w:r>
      <w:r w:rsidRPr="00AD3624">
        <w:rPr>
          <w:rFonts w:ascii="mylotus" w:hAnsi="mylotus"/>
          <w:sz w:val="34"/>
          <w:szCs w:val="34"/>
          <w:rtl/>
          <w:lang w:bidi="ar-BH"/>
        </w:rPr>
        <w:t>يُعامل الشّيءُ الواحدُ في بلدٍ معاملة المكيل والموزون وفي بلدٍ آخر معاملة المعدود</w:t>
      </w:r>
      <w:r w:rsidRPr="00AD3624">
        <w:rPr>
          <w:rFonts w:ascii="mylotus" w:hAnsi="mylotus"/>
          <w:sz w:val="34"/>
          <w:szCs w:val="34"/>
          <w:vertAlign w:val="superscript"/>
          <w:rtl/>
        </w:rPr>
        <w:t>(</w:t>
      </w:r>
      <w:r w:rsidRPr="00AD3624">
        <w:rPr>
          <w:rStyle w:val="ac"/>
          <w:rFonts w:ascii="mylotus" w:hAnsi="mylotus"/>
          <w:sz w:val="34"/>
          <w:szCs w:val="34"/>
          <w:rtl/>
        </w:rPr>
        <w:footnoteReference w:id="4"/>
      </w:r>
      <w:r w:rsidRPr="00AD3624">
        <w:rPr>
          <w:rFonts w:ascii="mylotus" w:hAnsi="mylotus"/>
          <w:sz w:val="34"/>
          <w:szCs w:val="34"/>
          <w:vertAlign w:val="superscript"/>
          <w:rtl/>
        </w:rPr>
        <w:t>)</w:t>
      </w:r>
      <w:r w:rsidRPr="00AD3624">
        <w:rPr>
          <w:rFonts w:ascii="mylotus" w:hAnsi="mylotus"/>
          <w:sz w:val="34"/>
          <w:szCs w:val="34"/>
          <w:rtl/>
          <w:lang w:bidi="ar-BH"/>
        </w:rPr>
        <w:t>.</w:t>
      </w:r>
    </w:p>
    <w:p w14:paraId="380E5826" w14:textId="77777777" w:rsidR="00AD3624" w:rsidRPr="00AD3624" w:rsidRDefault="00AD3624" w:rsidP="00AD3624">
      <w:pPr>
        <w:pStyle w:val="a0"/>
        <w:bidi/>
        <w:rPr>
          <w:rFonts w:ascii="mylotus" w:hAnsi="mylotus"/>
          <w:sz w:val="34"/>
          <w:szCs w:val="34"/>
          <w:rtl/>
        </w:rPr>
      </w:pPr>
      <w:r w:rsidRPr="00AD3624">
        <w:rPr>
          <w:rFonts w:ascii="mylotus" w:hAnsi="mylotus"/>
          <w:sz w:val="34"/>
          <w:szCs w:val="34"/>
          <w:rtl/>
          <w:lang w:bidi="ar-BH"/>
        </w:rPr>
        <w:t>وقد يكون في المال الواحد حيثيتان كما في النّقود المسكوكة؛ حيث إنها بلحاظ مادّتها (ذهبًا كانت أو فضّةً) هي من المكيل والموزون، وبلحاظ تداولها هي من قبيل النّقود الورقيّة في زماننا.</w:t>
      </w:r>
    </w:p>
    <w:p w14:paraId="19587EB3" w14:textId="77777777" w:rsidR="00AD3624" w:rsidRPr="00AD3624" w:rsidRDefault="00AD3624" w:rsidP="00AD3624">
      <w:pPr>
        <w:pStyle w:val="a0"/>
        <w:bidi/>
        <w:rPr>
          <w:rFonts w:ascii="mylotus" w:hAnsi="mylotus"/>
          <w:sz w:val="34"/>
          <w:szCs w:val="34"/>
          <w:rtl/>
        </w:rPr>
      </w:pPr>
      <w:r w:rsidRPr="00AD3624">
        <w:rPr>
          <w:rFonts w:ascii="mylotus" w:hAnsi="mylotus"/>
          <w:sz w:val="34"/>
          <w:szCs w:val="34"/>
          <w:rtl/>
          <w:lang w:bidi="ar-BH"/>
        </w:rPr>
        <w:t>وقد أشكل سيّدُنا الخوئيّ (قدّس سرُّه)</w:t>
      </w:r>
      <w:r w:rsidRPr="00AD3624">
        <w:rPr>
          <w:rFonts w:ascii="mylotus" w:hAnsi="mylotus"/>
          <w:sz w:val="34"/>
          <w:szCs w:val="34"/>
          <w:rtl/>
        </w:rPr>
        <w:t xml:space="preserve"> </w:t>
      </w:r>
      <w:r w:rsidRPr="00AD3624">
        <w:rPr>
          <w:rFonts w:ascii="mylotus" w:hAnsi="mylotus"/>
          <w:sz w:val="34"/>
          <w:szCs w:val="34"/>
          <w:rtl/>
          <w:lang w:bidi="ar-BH"/>
        </w:rPr>
        <w:t>في الموسوعة</w:t>
      </w:r>
      <w:r w:rsidRPr="00AD3624">
        <w:rPr>
          <w:rFonts w:ascii="mylotus" w:hAnsi="mylotus"/>
          <w:sz w:val="34"/>
          <w:szCs w:val="34"/>
          <w:vertAlign w:val="superscript"/>
          <w:rtl/>
          <w:lang w:bidi="ar-BH"/>
        </w:rPr>
        <w:t>(</w:t>
      </w:r>
      <w:r w:rsidRPr="00AD3624">
        <w:rPr>
          <w:rStyle w:val="ac"/>
          <w:rFonts w:ascii="mylotus" w:hAnsi="mylotus"/>
          <w:sz w:val="34"/>
          <w:szCs w:val="34"/>
          <w:rtl/>
        </w:rPr>
        <w:footnoteReference w:id="5"/>
      </w:r>
      <w:r w:rsidRPr="00AD3624">
        <w:rPr>
          <w:rFonts w:ascii="mylotus" w:hAnsi="mylotus"/>
          <w:sz w:val="34"/>
          <w:szCs w:val="34"/>
          <w:vertAlign w:val="superscript"/>
          <w:rtl/>
          <w:lang w:bidi="ar-BH"/>
        </w:rPr>
        <w:t>)</w:t>
      </w:r>
      <w:r w:rsidRPr="00AD3624">
        <w:rPr>
          <w:rFonts w:ascii="mylotus" w:hAnsi="mylotus"/>
          <w:sz w:val="34"/>
          <w:szCs w:val="34"/>
          <w:rtl/>
          <w:lang w:bidi="ar-BH"/>
        </w:rPr>
        <w:t xml:space="preserve"> على ما ذهب إليه المشهورُ</w:t>
      </w:r>
      <w:r w:rsidRPr="00AD3624">
        <w:rPr>
          <w:rFonts w:ascii="mylotus" w:hAnsi="mylotus"/>
          <w:sz w:val="34"/>
          <w:szCs w:val="34"/>
          <w:rtl/>
        </w:rPr>
        <w:t>،</w:t>
      </w:r>
      <w:r w:rsidRPr="00AD3624">
        <w:rPr>
          <w:rFonts w:ascii="mylotus" w:hAnsi="mylotus"/>
          <w:sz w:val="34"/>
          <w:szCs w:val="34"/>
          <w:rtl/>
          <w:lang w:bidi="ar-BH"/>
        </w:rPr>
        <w:t xml:space="preserve"> بما</w:t>
      </w:r>
      <w:r w:rsidRPr="00AD3624">
        <w:rPr>
          <w:rFonts w:ascii="mylotus" w:hAnsi="mylotus"/>
          <w:sz w:val="34"/>
          <w:szCs w:val="34"/>
          <w:rtl/>
        </w:rPr>
        <w:t xml:space="preserve"> </w:t>
      </w:r>
      <w:r w:rsidRPr="00AD3624">
        <w:rPr>
          <w:rFonts w:ascii="mylotus" w:hAnsi="mylotus"/>
          <w:sz w:val="34"/>
          <w:szCs w:val="34"/>
          <w:rtl/>
          <w:lang w:bidi="ar-BH"/>
        </w:rPr>
        <w:t>هو مؤلف من أمرين:</w:t>
      </w:r>
    </w:p>
    <w:p w14:paraId="73016B25" w14:textId="77777777" w:rsidR="00AD3624" w:rsidRPr="00AD3624" w:rsidRDefault="00AD3624" w:rsidP="00AD3624">
      <w:pPr>
        <w:pStyle w:val="a0"/>
        <w:bidi/>
        <w:rPr>
          <w:rFonts w:ascii="mylotus" w:hAnsi="mylotus"/>
          <w:sz w:val="34"/>
          <w:szCs w:val="34"/>
          <w:rtl/>
        </w:rPr>
      </w:pPr>
      <w:r w:rsidRPr="001C0AFD">
        <w:rPr>
          <w:rFonts w:ascii="mylotus" w:hAnsi="mylotus"/>
          <w:b/>
          <w:bCs/>
          <w:sz w:val="34"/>
          <w:szCs w:val="34"/>
          <w:rtl/>
          <w:lang w:bidi="ar-BH"/>
        </w:rPr>
        <w:t>الأوّل:</w:t>
      </w:r>
      <w:r w:rsidRPr="00AD3624">
        <w:rPr>
          <w:rFonts w:ascii="mylotus" w:hAnsi="mylotus"/>
          <w:sz w:val="34"/>
          <w:szCs w:val="34"/>
          <w:rtl/>
          <w:lang w:bidi="ar-BH"/>
        </w:rPr>
        <w:t xml:space="preserve"> أنه إن قام على ذلك إجماعٌ أو ورد فيه نصٌّ، وإلا فإثباتُ ذلك لعلّه مستحيلٌ فضلاً عن تعسّره. والوجهُ في ذلك أنّ الجمعَ في قضية واحدة بين القضيّة الحقيقيّة -التي يترتّب الحكمُ فيها على موضوعه المفروض الوجود- وبين القضيّة الخارجيّة -التي يترتّب الحكمُ فيها على الموضوع المتحقّق في الخارج- غيرُ ممكنٍ</w:t>
      </w:r>
      <w:r w:rsidRPr="00AD3624">
        <w:rPr>
          <w:rFonts w:ascii="mylotus" w:hAnsi="mylotus"/>
          <w:sz w:val="34"/>
          <w:szCs w:val="34"/>
          <w:rtl/>
        </w:rPr>
        <w:t>،</w:t>
      </w:r>
      <w:r w:rsidRPr="00AD3624">
        <w:rPr>
          <w:rFonts w:ascii="mylotus" w:hAnsi="mylotus"/>
          <w:sz w:val="34"/>
          <w:szCs w:val="34"/>
          <w:rtl/>
          <w:lang w:bidi="ar-BH"/>
        </w:rPr>
        <w:t xml:space="preserve"> فإن كان الحكمُ بعدم جواز بيع المكيل والموزون بربح قبل قبضه قضيّةً خارجيّةً ناظرةً لما كان في زمان النّبيّ </w:t>
      </w:r>
      <w:r w:rsidRPr="00AD3624">
        <w:rPr>
          <w:rFonts w:ascii="mylotus" w:hAnsi="mylotus"/>
          <w:sz w:val="34"/>
          <w:szCs w:val="34"/>
          <w:rtl/>
        </w:rPr>
        <w:t>(</w:t>
      </w:r>
      <w:r w:rsidRPr="00AD3624">
        <w:rPr>
          <w:rFonts w:ascii="mylotus" w:hAnsi="mylotus"/>
          <w:sz w:val="34"/>
          <w:szCs w:val="34"/>
          <w:rtl/>
          <w:lang w:bidi="ar-BH"/>
        </w:rPr>
        <w:t>ص</w:t>
      </w:r>
      <w:proofErr w:type="spellStart"/>
      <w:r w:rsidRPr="00AD3624">
        <w:rPr>
          <w:rFonts w:ascii="mylotus" w:hAnsi="mylotus"/>
          <w:sz w:val="34"/>
          <w:szCs w:val="34"/>
          <w:rtl/>
        </w:rPr>
        <w:t>لى</w:t>
      </w:r>
      <w:proofErr w:type="spellEnd"/>
      <w:r w:rsidRPr="00AD3624">
        <w:rPr>
          <w:rFonts w:ascii="mylotus" w:hAnsi="mylotus"/>
          <w:sz w:val="34"/>
          <w:szCs w:val="34"/>
          <w:rtl/>
        </w:rPr>
        <w:t xml:space="preserve"> الله عليه وآله) </w:t>
      </w:r>
      <w:r w:rsidRPr="00AD3624">
        <w:rPr>
          <w:rFonts w:ascii="mylotus" w:hAnsi="mylotus"/>
          <w:sz w:val="34"/>
          <w:szCs w:val="34"/>
          <w:rtl/>
          <w:lang w:bidi="ar-BH"/>
        </w:rPr>
        <w:t>كذلك فما</w:t>
      </w:r>
      <w:r w:rsidRPr="00AD3624">
        <w:rPr>
          <w:rFonts w:ascii="mylotus" w:hAnsi="mylotus"/>
          <w:sz w:val="34"/>
          <w:szCs w:val="34"/>
          <w:rtl/>
        </w:rPr>
        <w:t xml:space="preserve"> </w:t>
      </w:r>
      <w:r w:rsidRPr="00AD3624">
        <w:rPr>
          <w:rFonts w:ascii="mylotus" w:hAnsi="mylotus"/>
          <w:sz w:val="34"/>
          <w:szCs w:val="34"/>
          <w:rtl/>
          <w:lang w:bidi="ar-BH"/>
        </w:rPr>
        <w:t>هو وجه إجراء حكمهما على ما</w:t>
      </w:r>
      <w:r w:rsidRPr="00AD3624">
        <w:rPr>
          <w:rFonts w:ascii="mylotus" w:hAnsi="mylotus"/>
          <w:sz w:val="34"/>
          <w:szCs w:val="34"/>
          <w:rtl/>
        </w:rPr>
        <w:t xml:space="preserve"> </w:t>
      </w:r>
      <w:r w:rsidRPr="00AD3624">
        <w:rPr>
          <w:rFonts w:ascii="mylotus" w:hAnsi="mylotus"/>
          <w:sz w:val="34"/>
          <w:szCs w:val="34"/>
          <w:rtl/>
          <w:lang w:bidi="ar-BH"/>
        </w:rPr>
        <w:t>صار من المكيل والموزون في الأزمنة الأخرى</w:t>
      </w:r>
      <w:r w:rsidRPr="00AD3624">
        <w:rPr>
          <w:rFonts w:ascii="mylotus" w:hAnsi="mylotus"/>
          <w:sz w:val="34"/>
          <w:szCs w:val="34"/>
          <w:rtl/>
        </w:rPr>
        <w:t>؟</w:t>
      </w:r>
      <w:r w:rsidRPr="00AD3624">
        <w:rPr>
          <w:rFonts w:ascii="mylotus" w:hAnsi="mylotus"/>
          <w:sz w:val="34"/>
          <w:szCs w:val="34"/>
          <w:rtl/>
          <w:lang w:bidi="ar-BH"/>
        </w:rPr>
        <w:t xml:space="preserve"> وإن كان قضيّةً حقيقيّةً ناظرةً لما صدق عليه أنّه مكيلٌ وموزونٌ، </w:t>
      </w:r>
      <w:r w:rsidRPr="00AD3624">
        <w:rPr>
          <w:rFonts w:ascii="mylotus" w:hAnsi="mylotus"/>
          <w:sz w:val="34"/>
          <w:szCs w:val="34"/>
          <w:rtl/>
          <w:lang w:bidi="ar-BH"/>
        </w:rPr>
        <w:lastRenderedPageBreak/>
        <w:t>فما</w:t>
      </w:r>
      <w:r w:rsidRPr="00AD3624">
        <w:rPr>
          <w:rFonts w:ascii="mylotus" w:hAnsi="mylotus"/>
          <w:sz w:val="34"/>
          <w:szCs w:val="34"/>
          <w:rtl/>
        </w:rPr>
        <w:t xml:space="preserve"> </w:t>
      </w:r>
      <w:r w:rsidRPr="00AD3624">
        <w:rPr>
          <w:rFonts w:ascii="mylotus" w:hAnsi="mylotus"/>
          <w:sz w:val="34"/>
          <w:szCs w:val="34"/>
          <w:rtl/>
          <w:lang w:bidi="ar-BH"/>
        </w:rPr>
        <w:t>هو وجه التقيد بالوصف في زمانه حتى مع تغيره في زمان آخر لوصف المعدود مثلا</w:t>
      </w:r>
      <w:r w:rsidRPr="00AD3624">
        <w:rPr>
          <w:rFonts w:ascii="mylotus" w:hAnsi="mylotus"/>
          <w:sz w:val="34"/>
          <w:szCs w:val="34"/>
          <w:rtl/>
        </w:rPr>
        <w:t>؟</w:t>
      </w:r>
      <w:r w:rsidRPr="00AD3624">
        <w:rPr>
          <w:rFonts w:ascii="mylotus" w:hAnsi="mylotus"/>
          <w:sz w:val="34"/>
          <w:szCs w:val="34"/>
          <w:rtl/>
          <w:lang w:bidi="ar-BH"/>
        </w:rPr>
        <w:t xml:space="preserve"> وبالجملة، فإنّ الجمعَ بين هذين الأمرين مستحيلٌ كما ذكره الشّيخُ الأنصاريُّ (قدس سره).</w:t>
      </w:r>
    </w:p>
    <w:p w14:paraId="18786DA5" w14:textId="77777777" w:rsidR="00AD3624" w:rsidRPr="00AD3624" w:rsidRDefault="00AD3624" w:rsidP="00AD3624">
      <w:pPr>
        <w:pStyle w:val="a0"/>
        <w:bidi/>
        <w:rPr>
          <w:rFonts w:ascii="mylotus" w:hAnsi="mylotus"/>
          <w:sz w:val="34"/>
          <w:szCs w:val="34"/>
          <w:rtl/>
        </w:rPr>
      </w:pPr>
      <w:r w:rsidRPr="00AD3624">
        <w:rPr>
          <w:rFonts w:ascii="mylotus" w:hAnsi="mylotus"/>
          <w:sz w:val="34"/>
          <w:szCs w:val="34"/>
          <w:rtl/>
          <w:lang w:bidi="ar-BH"/>
        </w:rPr>
        <w:t xml:space="preserve">ولكنّ الشق الثاني من الإشكالَ غيرُ واردٍ؛ </w:t>
      </w:r>
      <w:r w:rsidRPr="00AD3624">
        <w:rPr>
          <w:rFonts w:ascii="mylotus" w:hAnsi="mylotus"/>
          <w:sz w:val="34"/>
          <w:szCs w:val="34"/>
          <w:rtl/>
        </w:rPr>
        <w:t>و</w:t>
      </w:r>
      <w:r w:rsidRPr="00AD3624">
        <w:rPr>
          <w:rFonts w:ascii="mylotus" w:hAnsi="mylotus"/>
          <w:sz w:val="34"/>
          <w:szCs w:val="34"/>
          <w:rtl/>
          <w:lang w:bidi="ar-BH"/>
        </w:rPr>
        <w:t>ذلك أنّ القضيّةَ حقيقيّةٌ بلا خلاف</w:t>
      </w:r>
      <w:r w:rsidRPr="00AD3624">
        <w:rPr>
          <w:rFonts w:ascii="mylotus" w:hAnsi="mylotus"/>
          <w:sz w:val="34"/>
          <w:szCs w:val="34"/>
          <w:rtl/>
        </w:rPr>
        <w:t xml:space="preserve"> </w:t>
      </w:r>
      <w:r w:rsidRPr="00AD3624">
        <w:rPr>
          <w:rFonts w:ascii="mylotus" w:hAnsi="mylotus"/>
          <w:sz w:val="34"/>
          <w:szCs w:val="34"/>
          <w:rtl/>
          <w:lang w:bidi="ar-BH"/>
        </w:rPr>
        <w:t xml:space="preserve">كسائر القضايا التشريعية، ولكن ليس المدارُ فيها على ما وُجد في زمان النبي </w:t>
      </w:r>
      <w:r w:rsidRPr="00AD3624">
        <w:rPr>
          <w:rFonts w:ascii="mylotus" w:hAnsi="mylotus"/>
          <w:sz w:val="34"/>
          <w:szCs w:val="34"/>
          <w:rtl/>
        </w:rPr>
        <w:t>(</w:t>
      </w:r>
      <w:r w:rsidRPr="00AD3624">
        <w:rPr>
          <w:rFonts w:ascii="mylotus" w:hAnsi="mylotus"/>
          <w:sz w:val="34"/>
          <w:szCs w:val="34"/>
          <w:rtl/>
          <w:lang w:bidi="ar-BH"/>
        </w:rPr>
        <w:t>ص</w:t>
      </w:r>
      <w:proofErr w:type="spellStart"/>
      <w:r w:rsidRPr="00AD3624">
        <w:rPr>
          <w:rFonts w:ascii="mylotus" w:hAnsi="mylotus"/>
          <w:sz w:val="34"/>
          <w:szCs w:val="34"/>
          <w:rtl/>
        </w:rPr>
        <w:t>لى</w:t>
      </w:r>
      <w:proofErr w:type="spellEnd"/>
      <w:r w:rsidRPr="00AD3624">
        <w:rPr>
          <w:rFonts w:ascii="mylotus" w:hAnsi="mylotus"/>
          <w:sz w:val="34"/>
          <w:szCs w:val="34"/>
          <w:rtl/>
        </w:rPr>
        <w:t xml:space="preserve"> الله عليه وآله)</w:t>
      </w:r>
      <w:r w:rsidRPr="00AD3624">
        <w:rPr>
          <w:rFonts w:ascii="mylotus" w:hAnsi="mylotus"/>
          <w:sz w:val="34"/>
          <w:szCs w:val="34"/>
          <w:rtl/>
          <w:lang w:bidi="ar-BH"/>
        </w:rPr>
        <w:t xml:space="preserve"> وكان مكيلاً وموزونًا</w:t>
      </w:r>
      <w:r w:rsidRPr="00AD3624">
        <w:rPr>
          <w:rFonts w:ascii="mylotus" w:hAnsi="mylotus"/>
          <w:sz w:val="34"/>
          <w:szCs w:val="34"/>
          <w:rtl/>
        </w:rPr>
        <w:t xml:space="preserve"> </w:t>
      </w:r>
      <w:r w:rsidRPr="00AD3624">
        <w:rPr>
          <w:rFonts w:ascii="mylotus" w:hAnsi="mylotus"/>
          <w:sz w:val="34"/>
          <w:szCs w:val="34"/>
          <w:rtl/>
          <w:lang w:bidi="ar-BH"/>
        </w:rPr>
        <w:t>كي يكون منافيا لكون القضية خارجية</w:t>
      </w:r>
      <w:r w:rsidRPr="00AD3624">
        <w:rPr>
          <w:rFonts w:ascii="mylotus" w:hAnsi="mylotus"/>
          <w:sz w:val="34"/>
          <w:szCs w:val="34"/>
          <w:rtl/>
        </w:rPr>
        <w:t>،</w:t>
      </w:r>
      <w:r w:rsidRPr="00AD3624">
        <w:rPr>
          <w:rFonts w:ascii="mylotus" w:hAnsi="mylotus"/>
          <w:sz w:val="34"/>
          <w:szCs w:val="34"/>
          <w:rtl/>
          <w:lang w:bidi="ar-BH"/>
        </w:rPr>
        <w:t xml:space="preserve"> وإنّما المناطُ في كونه مكيلاً أو موزونًا على ما</w:t>
      </w:r>
      <w:r w:rsidRPr="00AD3624">
        <w:rPr>
          <w:rFonts w:ascii="mylotus" w:hAnsi="mylotus"/>
          <w:sz w:val="34"/>
          <w:szCs w:val="34"/>
          <w:rtl/>
        </w:rPr>
        <w:t xml:space="preserve"> </w:t>
      </w:r>
      <w:r w:rsidRPr="00AD3624">
        <w:rPr>
          <w:rFonts w:ascii="mylotus" w:hAnsi="mylotus"/>
          <w:sz w:val="34"/>
          <w:szCs w:val="34"/>
          <w:rtl/>
          <w:lang w:bidi="ar-BH"/>
        </w:rPr>
        <w:t xml:space="preserve">كان من سنخهما في زمان النبي </w:t>
      </w:r>
      <w:r w:rsidRPr="00AD3624">
        <w:rPr>
          <w:rFonts w:ascii="mylotus" w:hAnsi="mylotus"/>
          <w:sz w:val="34"/>
          <w:szCs w:val="34"/>
          <w:rtl/>
        </w:rPr>
        <w:t>(</w:t>
      </w:r>
      <w:r w:rsidRPr="00AD3624">
        <w:rPr>
          <w:rFonts w:ascii="mylotus" w:hAnsi="mylotus"/>
          <w:sz w:val="34"/>
          <w:szCs w:val="34"/>
          <w:rtl/>
          <w:lang w:bidi="ar-BH"/>
        </w:rPr>
        <w:t>ص</w:t>
      </w:r>
      <w:proofErr w:type="spellStart"/>
      <w:r w:rsidRPr="00AD3624">
        <w:rPr>
          <w:rFonts w:ascii="mylotus" w:hAnsi="mylotus"/>
          <w:sz w:val="34"/>
          <w:szCs w:val="34"/>
          <w:rtl/>
        </w:rPr>
        <w:t>لى</w:t>
      </w:r>
      <w:proofErr w:type="spellEnd"/>
      <w:r w:rsidRPr="00AD3624">
        <w:rPr>
          <w:rFonts w:ascii="mylotus" w:hAnsi="mylotus"/>
          <w:sz w:val="34"/>
          <w:szCs w:val="34"/>
          <w:rtl/>
        </w:rPr>
        <w:t xml:space="preserve"> الله عليه وآله)</w:t>
      </w:r>
      <w:r w:rsidRPr="00AD3624">
        <w:rPr>
          <w:rFonts w:ascii="mylotus" w:hAnsi="mylotus"/>
          <w:sz w:val="34"/>
          <w:szCs w:val="34"/>
          <w:rtl/>
          <w:lang w:bidi="ar-BH"/>
        </w:rPr>
        <w:t>، بمعنى أنّ كلّ ما</w:t>
      </w:r>
      <w:r w:rsidRPr="00AD3624">
        <w:rPr>
          <w:rFonts w:ascii="mylotus" w:hAnsi="mylotus"/>
          <w:sz w:val="34"/>
          <w:szCs w:val="34"/>
          <w:rtl/>
        </w:rPr>
        <w:t xml:space="preserve"> </w:t>
      </w:r>
      <w:r w:rsidRPr="00AD3624">
        <w:rPr>
          <w:rFonts w:ascii="mylotus" w:hAnsi="mylotus"/>
          <w:sz w:val="34"/>
          <w:szCs w:val="34"/>
          <w:rtl/>
          <w:lang w:bidi="ar-BH"/>
        </w:rPr>
        <w:t xml:space="preserve">يقع التعامل به </w:t>
      </w:r>
      <w:r w:rsidRPr="00AD3624">
        <w:rPr>
          <w:rFonts w:ascii="mylotus" w:hAnsi="mylotus"/>
          <w:sz w:val="34"/>
          <w:szCs w:val="34"/>
          <w:rtl/>
        </w:rPr>
        <w:t>-</w:t>
      </w:r>
      <w:r w:rsidRPr="00AD3624">
        <w:rPr>
          <w:rFonts w:ascii="mylotus" w:hAnsi="mylotus"/>
          <w:sz w:val="34"/>
          <w:szCs w:val="34"/>
          <w:rtl/>
          <w:lang w:bidi="ar-BH"/>
        </w:rPr>
        <w:t>في أيّ زمانٍ</w:t>
      </w:r>
      <w:r w:rsidRPr="00AD3624">
        <w:rPr>
          <w:rFonts w:ascii="mylotus" w:hAnsi="mylotus"/>
          <w:sz w:val="34"/>
          <w:szCs w:val="34"/>
          <w:rtl/>
        </w:rPr>
        <w:t>-</w:t>
      </w:r>
      <w:r w:rsidRPr="00AD3624">
        <w:rPr>
          <w:rFonts w:ascii="mylotus" w:hAnsi="mylotus"/>
          <w:sz w:val="34"/>
          <w:szCs w:val="34"/>
          <w:rtl/>
          <w:lang w:bidi="ar-BH"/>
        </w:rPr>
        <w:t xml:space="preserve"> إن كان من سنخ ما</w:t>
      </w:r>
      <w:r w:rsidRPr="00AD3624">
        <w:rPr>
          <w:rFonts w:ascii="mylotus" w:hAnsi="mylotus"/>
          <w:sz w:val="34"/>
          <w:szCs w:val="34"/>
          <w:rtl/>
        </w:rPr>
        <w:t xml:space="preserve"> </w:t>
      </w:r>
      <w:r w:rsidRPr="00AD3624">
        <w:rPr>
          <w:rFonts w:ascii="mylotus" w:hAnsi="mylotus"/>
          <w:sz w:val="34"/>
          <w:szCs w:val="34"/>
          <w:rtl/>
          <w:lang w:bidi="ar-BH"/>
        </w:rPr>
        <w:t>كان مكيلا أو</w:t>
      </w:r>
      <w:r w:rsidRPr="00AD3624">
        <w:rPr>
          <w:rFonts w:ascii="mylotus" w:hAnsi="mylotus"/>
          <w:sz w:val="34"/>
          <w:szCs w:val="34"/>
          <w:rtl/>
        </w:rPr>
        <w:t xml:space="preserve"> </w:t>
      </w:r>
      <w:r w:rsidRPr="00AD3624">
        <w:rPr>
          <w:rFonts w:ascii="mylotus" w:hAnsi="mylotus"/>
          <w:sz w:val="34"/>
          <w:szCs w:val="34"/>
          <w:rtl/>
          <w:lang w:bidi="ar-BH"/>
        </w:rPr>
        <w:t>موزونا في زمان النّبيّ (صلى الله عليه وآله) ترتّب عليه حكمُه، وهذا لا يتنافى مع كون القضيّة حقيقيّةً، لكون الموضوع مفروض الوجود لا</w:t>
      </w:r>
      <w:r w:rsidRPr="00AD3624">
        <w:rPr>
          <w:rFonts w:ascii="mylotus" w:hAnsi="mylotus"/>
          <w:sz w:val="34"/>
          <w:szCs w:val="34"/>
          <w:rtl/>
        </w:rPr>
        <w:t xml:space="preserve"> </w:t>
      </w:r>
      <w:r w:rsidRPr="00AD3624">
        <w:rPr>
          <w:rFonts w:ascii="mylotus" w:hAnsi="mylotus"/>
          <w:sz w:val="34"/>
          <w:szCs w:val="34"/>
          <w:rtl/>
          <w:lang w:bidi="ar-BH"/>
        </w:rPr>
        <w:t>ما</w:t>
      </w:r>
      <w:r w:rsidRPr="00AD3624">
        <w:rPr>
          <w:rFonts w:ascii="mylotus" w:hAnsi="mylotus"/>
          <w:sz w:val="34"/>
          <w:szCs w:val="34"/>
          <w:rtl/>
        </w:rPr>
        <w:t xml:space="preserve"> </w:t>
      </w:r>
      <w:r w:rsidRPr="00AD3624">
        <w:rPr>
          <w:rFonts w:ascii="mylotus" w:hAnsi="mylotus"/>
          <w:sz w:val="34"/>
          <w:szCs w:val="34"/>
          <w:rtl/>
          <w:lang w:bidi="ar-BH"/>
        </w:rPr>
        <w:t>هو الموجود</w:t>
      </w:r>
      <w:r w:rsidRPr="00AD3624">
        <w:rPr>
          <w:rFonts w:ascii="mylotus" w:hAnsi="mylotus"/>
          <w:sz w:val="34"/>
          <w:szCs w:val="34"/>
          <w:rtl/>
        </w:rPr>
        <w:t>.</w:t>
      </w:r>
      <w:r w:rsidRPr="00AD3624">
        <w:rPr>
          <w:rFonts w:ascii="mylotus" w:hAnsi="mylotus"/>
          <w:sz w:val="34"/>
          <w:szCs w:val="34"/>
          <w:rtl/>
          <w:lang w:bidi="ar-BH"/>
        </w:rPr>
        <w:t xml:space="preserve"> نعم</w:t>
      </w:r>
      <w:r w:rsidRPr="00AD3624">
        <w:rPr>
          <w:rFonts w:ascii="mylotus" w:hAnsi="mylotus"/>
          <w:sz w:val="34"/>
          <w:szCs w:val="34"/>
          <w:rtl/>
        </w:rPr>
        <w:t>؛</w:t>
      </w:r>
      <w:r w:rsidRPr="00AD3624">
        <w:rPr>
          <w:rFonts w:ascii="mylotus" w:hAnsi="mylotus"/>
          <w:sz w:val="34"/>
          <w:szCs w:val="34"/>
          <w:rtl/>
          <w:lang w:bidi="ar-BH"/>
        </w:rPr>
        <w:t xml:space="preserve"> مقتضى ذلك:</w:t>
      </w:r>
      <w:r w:rsidRPr="00AD3624">
        <w:rPr>
          <w:rFonts w:ascii="mylotus" w:hAnsi="mylotus"/>
          <w:sz w:val="34"/>
          <w:szCs w:val="34"/>
          <w:rtl/>
        </w:rPr>
        <w:t xml:space="preserve"> </w:t>
      </w:r>
      <w:r w:rsidRPr="00AD3624">
        <w:rPr>
          <w:rFonts w:ascii="mylotus" w:hAnsi="mylotus"/>
          <w:sz w:val="34"/>
          <w:szCs w:val="34"/>
          <w:rtl/>
          <w:lang w:bidi="ar-BH"/>
        </w:rPr>
        <w:t>أن ما</w:t>
      </w:r>
      <w:r w:rsidRPr="00AD3624">
        <w:rPr>
          <w:rFonts w:ascii="mylotus" w:hAnsi="mylotus"/>
          <w:sz w:val="34"/>
          <w:szCs w:val="34"/>
          <w:rtl/>
        </w:rPr>
        <w:t xml:space="preserve"> </w:t>
      </w:r>
      <w:r w:rsidRPr="00AD3624">
        <w:rPr>
          <w:rFonts w:ascii="mylotus" w:hAnsi="mylotus"/>
          <w:sz w:val="34"/>
          <w:szCs w:val="34"/>
          <w:rtl/>
          <w:lang w:bidi="ar-BH"/>
        </w:rPr>
        <w:t>لم يعلم وصفه فهو موضوع للأصل العملي الموضوعي والحكمي، لا</w:t>
      </w:r>
      <w:r w:rsidRPr="00AD3624">
        <w:rPr>
          <w:rFonts w:ascii="mylotus" w:hAnsi="mylotus"/>
          <w:sz w:val="34"/>
          <w:szCs w:val="34"/>
          <w:rtl/>
        </w:rPr>
        <w:t xml:space="preserve"> </w:t>
      </w:r>
      <w:r w:rsidRPr="00AD3624">
        <w:rPr>
          <w:rFonts w:ascii="mylotus" w:hAnsi="mylotus"/>
          <w:sz w:val="34"/>
          <w:szCs w:val="34"/>
          <w:rtl/>
          <w:lang w:bidi="ar-BH"/>
        </w:rPr>
        <w:t>لأخذ بما</w:t>
      </w:r>
      <w:r w:rsidRPr="00AD3624">
        <w:rPr>
          <w:rFonts w:ascii="mylotus" w:hAnsi="mylotus"/>
          <w:sz w:val="34"/>
          <w:szCs w:val="34"/>
          <w:rtl/>
        </w:rPr>
        <w:t xml:space="preserve"> </w:t>
      </w:r>
      <w:r w:rsidRPr="00AD3624">
        <w:rPr>
          <w:rFonts w:ascii="mylotus" w:hAnsi="mylotus"/>
          <w:sz w:val="34"/>
          <w:szCs w:val="34"/>
          <w:rtl/>
          <w:lang w:bidi="ar-BH"/>
        </w:rPr>
        <w:t>جرت عليه عادة البلدان في زمان التعامل.</w:t>
      </w:r>
    </w:p>
    <w:p w14:paraId="5F130883" w14:textId="34AEE7AA" w:rsidR="00AD3624" w:rsidRPr="00AD3624" w:rsidRDefault="00C22E12" w:rsidP="00AD3624">
      <w:pPr>
        <w:pStyle w:val="a0"/>
        <w:bidi/>
        <w:rPr>
          <w:rFonts w:ascii="mylotus" w:hAnsi="mylotus"/>
          <w:sz w:val="34"/>
          <w:szCs w:val="34"/>
          <w:rtl/>
        </w:rPr>
      </w:pPr>
      <w:r>
        <w:rPr>
          <w:rFonts w:ascii="mylotus" w:hAnsi="mylotus" w:hint="cs"/>
          <w:b/>
          <w:bCs/>
          <w:sz w:val="34"/>
          <w:szCs w:val="34"/>
          <w:rtl/>
          <w:lang w:bidi="ar-BH"/>
        </w:rPr>
        <w:t>و</w:t>
      </w:r>
      <w:r w:rsidR="00AD3624" w:rsidRPr="001C0AFD">
        <w:rPr>
          <w:rFonts w:ascii="mylotus" w:hAnsi="mylotus"/>
          <w:b/>
          <w:bCs/>
          <w:sz w:val="34"/>
          <w:szCs w:val="34"/>
          <w:rtl/>
          <w:lang w:bidi="ar-BH"/>
        </w:rPr>
        <w:t>الثاني:</w:t>
      </w:r>
      <w:r w:rsidR="00AD3624" w:rsidRPr="00AD3624">
        <w:rPr>
          <w:rFonts w:ascii="mylotus" w:hAnsi="mylotus"/>
          <w:sz w:val="34"/>
          <w:szCs w:val="34"/>
          <w:rtl/>
          <w:lang w:bidi="ar-BH"/>
        </w:rPr>
        <w:t xml:space="preserve"> أفاد السيّدُ الخوئيُّ </w:t>
      </w:r>
      <w:r w:rsidR="00AD3624" w:rsidRPr="00AD3624">
        <w:rPr>
          <w:rFonts w:ascii="mylotus" w:hAnsi="mylotus"/>
          <w:sz w:val="34"/>
          <w:szCs w:val="34"/>
          <w:rtl/>
        </w:rPr>
        <w:t>في موسوعته</w:t>
      </w:r>
      <w:r w:rsidR="00AD3624" w:rsidRPr="00AD3624">
        <w:rPr>
          <w:rFonts w:ascii="mylotus" w:hAnsi="mylotus"/>
          <w:sz w:val="34"/>
          <w:szCs w:val="34"/>
          <w:vertAlign w:val="superscript"/>
          <w:rtl/>
          <w:lang w:bidi="ar-BH"/>
        </w:rPr>
        <w:t>(</w:t>
      </w:r>
      <w:r w:rsidR="00AD3624" w:rsidRPr="00AD3624">
        <w:rPr>
          <w:rStyle w:val="ac"/>
          <w:rFonts w:ascii="mylotus" w:hAnsi="mylotus"/>
          <w:sz w:val="34"/>
          <w:szCs w:val="34"/>
          <w:rtl/>
        </w:rPr>
        <w:footnoteReference w:id="6"/>
      </w:r>
      <w:r w:rsidR="00AD3624" w:rsidRPr="00AD3624">
        <w:rPr>
          <w:rFonts w:ascii="mylotus" w:hAnsi="mylotus"/>
          <w:sz w:val="34"/>
          <w:szCs w:val="34"/>
          <w:vertAlign w:val="superscript"/>
          <w:rtl/>
          <w:lang w:bidi="ar-BH"/>
        </w:rPr>
        <w:t>)</w:t>
      </w:r>
      <w:r w:rsidR="00AD3624" w:rsidRPr="00AD3624">
        <w:rPr>
          <w:rFonts w:ascii="mylotus" w:hAnsi="mylotus"/>
          <w:sz w:val="34"/>
          <w:szCs w:val="34"/>
          <w:rtl/>
          <w:lang w:bidi="ar-BH"/>
        </w:rPr>
        <w:t xml:space="preserve"> أنّه: حيث لا</w:t>
      </w:r>
      <w:r w:rsidR="00AD3624" w:rsidRPr="00AD3624">
        <w:rPr>
          <w:rFonts w:ascii="mylotus" w:hAnsi="mylotus"/>
          <w:sz w:val="34"/>
          <w:szCs w:val="34"/>
          <w:rtl/>
        </w:rPr>
        <w:t xml:space="preserve"> </w:t>
      </w:r>
      <w:r w:rsidR="00AD3624" w:rsidRPr="00AD3624">
        <w:rPr>
          <w:rFonts w:ascii="mylotus" w:hAnsi="mylotus"/>
          <w:sz w:val="34"/>
          <w:szCs w:val="34"/>
          <w:rtl/>
          <w:lang w:bidi="ar-BH"/>
        </w:rPr>
        <w:t xml:space="preserve">دليل على اختصاص الموضوع بما كان كذلك زمان النبي </w:t>
      </w:r>
      <w:r w:rsidR="00AD3624" w:rsidRPr="00AD3624">
        <w:rPr>
          <w:rFonts w:ascii="mylotus" w:hAnsi="mylotus"/>
          <w:sz w:val="34"/>
          <w:szCs w:val="34"/>
          <w:rtl/>
        </w:rPr>
        <w:t>(</w:t>
      </w:r>
      <w:r w:rsidR="00AD3624" w:rsidRPr="00AD3624">
        <w:rPr>
          <w:rFonts w:ascii="mylotus" w:hAnsi="mylotus"/>
          <w:sz w:val="34"/>
          <w:szCs w:val="34"/>
          <w:rtl/>
          <w:lang w:bidi="ar-BH"/>
        </w:rPr>
        <w:t>ص</w:t>
      </w:r>
      <w:proofErr w:type="spellStart"/>
      <w:r w:rsidR="00AD3624" w:rsidRPr="00AD3624">
        <w:rPr>
          <w:rFonts w:ascii="mylotus" w:hAnsi="mylotus"/>
          <w:sz w:val="34"/>
          <w:szCs w:val="34"/>
          <w:rtl/>
        </w:rPr>
        <w:t>لى</w:t>
      </w:r>
      <w:proofErr w:type="spellEnd"/>
      <w:r w:rsidR="00AD3624" w:rsidRPr="00AD3624">
        <w:rPr>
          <w:rFonts w:ascii="mylotus" w:hAnsi="mylotus"/>
          <w:sz w:val="34"/>
          <w:szCs w:val="34"/>
          <w:rtl/>
        </w:rPr>
        <w:t xml:space="preserve"> الله عليه وآله)</w:t>
      </w:r>
      <w:r w:rsidR="00AD3624" w:rsidRPr="00AD3624">
        <w:rPr>
          <w:rFonts w:ascii="mylotus" w:hAnsi="mylotus"/>
          <w:sz w:val="34"/>
          <w:szCs w:val="34"/>
          <w:rtl/>
          <w:lang w:bidi="ar-BH"/>
        </w:rPr>
        <w:t xml:space="preserve"> فمقتضى كون القضية حقيقية أن الميزانَ في المكيل والموزون ما</w:t>
      </w:r>
      <w:r w:rsidR="00AD3624" w:rsidRPr="00AD3624">
        <w:rPr>
          <w:rFonts w:ascii="mylotus" w:hAnsi="mylotus"/>
          <w:sz w:val="34"/>
          <w:szCs w:val="34"/>
          <w:rtl/>
        </w:rPr>
        <w:t xml:space="preserve"> </w:t>
      </w:r>
      <w:r w:rsidR="00AD3624" w:rsidRPr="00AD3624">
        <w:rPr>
          <w:rFonts w:ascii="mylotus" w:hAnsi="mylotus"/>
          <w:sz w:val="34"/>
          <w:szCs w:val="34"/>
          <w:rtl/>
          <w:lang w:bidi="ar-BH"/>
        </w:rPr>
        <w:t xml:space="preserve">هو المتعارف في كلّ بلدٍ </w:t>
      </w:r>
      <w:proofErr w:type="spellStart"/>
      <w:r w:rsidR="00AD3624" w:rsidRPr="00AD3624">
        <w:rPr>
          <w:rFonts w:ascii="mylotus" w:hAnsi="mylotus"/>
          <w:sz w:val="34"/>
          <w:szCs w:val="34"/>
          <w:rtl/>
          <w:lang w:bidi="ar-BH"/>
        </w:rPr>
        <w:t>بلد</w:t>
      </w:r>
      <w:proofErr w:type="spellEnd"/>
      <w:r w:rsidR="00AD3624" w:rsidRPr="00AD3624">
        <w:rPr>
          <w:rFonts w:ascii="mylotus" w:hAnsi="mylotus"/>
          <w:sz w:val="34"/>
          <w:szCs w:val="34"/>
          <w:rtl/>
          <w:lang w:bidi="ar-BH"/>
        </w:rPr>
        <w:t>.</w:t>
      </w:r>
      <w:r w:rsidR="00AD3624" w:rsidRPr="00AD3624">
        <w:rPr>
          <w:rFonts w:ascii="mylotus" w:hAnsi="mylotus"/>
          <w:sz w:val="34"/>
          <w:szCs w:val="34"/>
          <w:rtl/>
        </w:rPr>
        <w:t xml:space="preserve"> </w:t>
      </w:r>
      <w:r w:rsidR="00AD3624" w:rsidRPr="00AD3624">
        <w:rPr>
          <w:rFonts w:ascii="mylotus" w:hAnsi="mylotus"/>
          <w:sz w:val="34"/>
          <w:szCs w:val="34"/>
          <w:rtl/>
          <w:lang w:bidi="ar-BH"/>
        </w:rPr>
        <w:t xml:space="preserve">ولكن: هل المناطُ على بلد الصُّنع </w:t>
      </w:r>
      <w:r w:rsidR="00AD3624" w:rsidRPr="00AD3624">
        <w:rPr>
          <w:rFonts w:ascii="mylotus" w:hAnsi="mylotus"/>
          <w:sz w:val="34"/>
          <w:szCs w:val="34"/>
          <w:rtl/>
        </w:rPr>
        <w:t xml:space="preserve">والمنشأ </w:t>
      </w:r>
      <w:r w:rsidR="00AD3624" w:rsidRPr="00AD3624">
        <w:rPr>
          <w:rFonts w:ascii="mylotus" w:hAnsi="mylotus"/>
          <w:sz w:val="34"/>
          <w:szCs w:val="34"/>
          <w:rtl/>
          <w:lang w:bidi="ar-BH"/>
        </w:rPr>
        <w:t>أم بلد المعاملة؟ ظاهرُ كلام السيّد الخوئيّ (قد</w:t>
      </w:r>
      <w:r w:rsidR="00AD3624" w:rsidRPr="00AD3624">
        <w:rPr>
          <w:rFonts w:ascii="mylotus" w:hAnsi="mylotus"/>
          <w:sz w:val="34"/>
          <w:szCs w:val="34"/>
          <w:rtl/>
        </w:rPr>
        <w:t>س سر</w:t>
      </w:r>
      <w:r w:rsidR="00AD3624" w:rsidRPr="00AD3624">
        <w:rPr>
          <w:rFonts w:ascii="mylotus" w:hAnsi="mylotus"/>
          <w:sz w:val="34"/>
          <w:szCs w:val="34"/>
          <w:rtl/>
          <w:lang w:bidi="ar-BH"/>
        </w:rPr>
        <w:t>ه) في المورد: أنّ المناطَ على بلد المنشأ؛ فلو كان في بلد الصُّنع مكيلاً ولكنّ الطرفين تعاملا به في بلد ليس فيه من المكيل والموزون بل من المعدود، فإنه يجري عليه حكمُ المكيل والموزون، حيث يصدق عليه أنه بيع ما هو مكيلٌ أو موزونٌ.</w:t>
      </w:r>
    </w:p>
    <w:p w14:paraId="24FE7939" w14:textId="3781349C" w:rsidR="00C22E12" w:rsidRDefault="000564E3" w:rsidP="00AD3624">
      <w:pPr>
        <w:pStyle w:val="a0"/>
        <w:bidi/>
        <w:rPr>
          <w:rFonts w:ascii="mylotus" w:hAnsi="mylotus"/>
          <w:sz w:val="34"/>
          <w:szCs w:val="34"/>
          <w:rtl/>
        </w:rPr>
      </w:pPr>
      <w:r w:rsidRPr="000564E3">
        <w:rPr>
          <w:rFonts w:ascii="mylotus" w:hAnsi="mylotus"/>
          <w:sz w:val="34"/>
          <w:szCs w:val="34"/>
          <w:rtl/>
          <w:lang w:bidi="ar-BH"/>
        </w:rPr>
        <w:t xml:space="preserve">ولكن لا يبعد أن يُقال: إنّ المناطَ على بلد المعاملة في المكيل والموزون، وبلد اللعب في مثال أداة القمار، وبلد إخراج زكاة الفطرة في القوت؛ فإن المنصرف عرفا من قوله: "لا تبع ما كان يُكال أو يُوزن" ما كان مكيلاً أو موزونًا في ظرف المعاملة، وظرف المعاملة هو الحيز الذي تخضع المعاملة فيه </w:t>
      </w:r>
      <w:r w:rsidR="00A31632" w:rsidRPr="000564E3">
        <w:rPr>
          <w:rFonts w:ascii="mylotus" w:hAnsi="mylotus" w:hint="cs"/>
          <w:sz w:val="34"/>
          <w:szCs w:val="34"/>
          <w:rtl/>
          <w:lang w:bidi="ar-BH"/>
        </w:rPr>
        <w:t>للقانون، ولذلك</w:t>
      </w:r>
      <w:r w:rsidRPr="000564E3">
        <w:rPr>
          <w:rFonts w:ascii="mylotus" w:hAnsi="mylotus"/>
          <w:sz w:val="34"/>
          <w:szCs w:val="34"/>
          <w:rtl/>
          <w:lang w:bidi="ar-BH"/>
        </w:rPr>
        <w:t xml:space="preserve"> لو فُرضت المعاملةُ في الفضاء المجازي (عبر الإنترنت)، وكان البائعُ من أقصى الشّرق والمشتري من أقصى الغرب، فالمناطُ هو مكان الإيجاب (مركز إدارة العمليات).</w:t>
      </w:r>
    </w:p>
    <w:p w14:paraId="4DA8BC45" w14:textId="77777777" w:rsidR="000564E3" w:rsidRPr="00AD3624" w:rsidRDefault="000564E3" w:rsidP="000564E3">
      <w:pPr>
        <w:pStyle w:val="a0"/>
        <w:bidi/>
        <w:rPr>
          <w:rFonts w:ascii="mylotus" w:hAnsi="mylotus"/>
          <w:sz w:val="34"/>
          <w:szCs w:val="34"/>
          <w:rtl/>
        </w:rPr>
      </w:pPr>
    </w:p>
    <w:p w14:paraId="780A2AD2" w14:textId="77777777" w:rsidR="00AD3624" w:rsidRPr="00C22E12" w:rsidRDefault="00AD3624" w:rsidP="00AD3624">
      <w:pPr>
        <w:pStyle w:val="a0"/>
        <w:bidi/>
        <w:rPr>
          <w:rFonts w:ascii="mylotus" w:hAnsi="mylotus"/>
          <w:b/>
          <w:bCs/>
          <w:sz w:val="34"/>
          <w:szCs w:val="34"/>
          <w:rtl/>
        </w:rPr>
      </w:pPr>
      <w:r w:rsidRPr="00C22E12">
        <w:rPr>
          <w:rFonts w:ascii="mylotus" w:hAnsi="mylotus"/>
          <w:b/>
          <w:bCs/>
          <w:sz w:val="34"/>
          <w:szCs w:val="34"/>
          <w:rtl/>
          <w:lang w:bidi="ar-BH"/>
        </w:rPr>
        <w:lastRenderedPageBreak/>
        <w:t>المطلب الثالث: في تعارض الروايات</w:t>
      </w:r>
    </w:p>
    <w:p w14:paraId="3919B971" w14:textId="77777777" w:rsidR="00AD3624" w:rsidRPr="00AD3624" w:rsidRDefault="00AD3624" w:rsidP="00AD3624">
      <w:pPr>
        <w:pStyle w:val="a0"/>
        <w:bidi/>
        <w:rPr>
          <w:rFonts w:ascii="mylotus" w:hAnsi="mylotus"/>
          <w:sz w:val="34"/>
          <w:szCs w:val="34"/>
          <w:rtl/>
        </w:rPr>
      </w:pPr>
      <w:r w:rsidRPr="00AD3624">
        <w:rPr>
          <w:rFonts w:ascii="mylotus" w:hAnsi="mylotus"/>
          <w:sz w:val="34"/>
          <w:szCs w:val="34"/>
          <w:rtl/>
          <w:lang w:bidi="ar-BH"/>
        </w:rPr>
        <w:t>ذكر السيّدُ القمّيّ (قدّس سرُّه) في مباني منهاج الصالحين</w:t>
      </w:r>
      <w:r w:rsidRPr="00AD3624">
        <w:rPr>
          <w:rFonts w:ascii="mylotus" w:hAnsi="mylotus"/>
          <w:sz w:val="34"/>
          <w:szCs w:val="34"/>
          <w:vertAlign w:val="superscript"/>
          <w:rtl/>
          <w:lang w:bidi="ar-BH"/>
        </w:rPr>
        <w:t>(</w:t>
      </w:r>
      <w:r w:rsidRPr="00AD3624">
        <w:rPr>
          <w:rStyle w:val="ac"/>
          <w:rFonts w:ascii="mylotus" w:hAnsi="mylotus"/>
          <w:sz w:val="34"/>
          <w:szCs w:val="34"/>
          <w:rtl/>
        </w:rPr>
        <w:footnoteReference w:id="7"/>
      </w:r>
      <w:r w:rsidRPr="00AD3624">
        <w:rPr>
          <w:rFonts w:ascii="mylotus" w:hAnsi="mylotus"/>
          <w:sz w:val="34"/>
          <w:szCs w:val="34"/>
          <w:vertAlign w:val="superscript"/>
          <w:rtl/>
          <w:lang w:bidi="ar-BH"/>
        </w:rPr>
        <w:t>)</w:t>
      </w:r>
      <w:r w:rsidRPr="00AD3624">
        <w:rPr>
          <w:rFonts w:ascii="mylotus" w:hAnsi="mylotus"/>
          <w:sz w:val="34"/>
          <w:szCs w:val="34"/>
          <w:rtl/>
          <w:lang w:bidi="ar-BH"/>
        </w:rPr>
        <w:t>: أنّ الرّواياتِ في المكيل والموزون متعارضةٌ. فإذا نُظر إلى موثقة سماعة قال: سألتُه عن الرّجل يبيع الطّعامَ أو الثّمرةَ وقد كان اشتراها ولم يقبضها، قال: "</w:t>
      </w:r>
      <w:r w:rsidRPr="00AD3624">
        <w:rPr>
          <w:rFonts w:ascii="mylotus" w:hAnsi="mylotus"/>
          <w:sz w:val="34"/>
          <w:szCs w:val="34"/>
          <w:rtl/>
        </w:rPr>
        <w:t xml:space="preserve"> </w:t>
      </w:r>
      <w:r w:rsidRPr="00AD3624">
        <w:rPr>
          <w:rFonts w:ascii="mylotus" w:hAnsi="mylotus"/>
          <w:sz w:val="34"/>
          <w:szCs w:val="34"/>
          <w:rtl/>
          <w:lang w:bidi="ar-BH"/>
        </w:rPr>
        <w:t>لاَ حَتَّى</w:t>
      </w:r>
      <w:r w:rsidRPr="00AD3624">
        <w:rPr>
          <w:rFonts w:ascii="mylotus" w:hAnsi="mylotus"/>
          <w:sz w:val="34"/>
          <w:szCs w:val="34"/>
          <w:rtl/>
        </w:rPr>
        <w:t xml:space="preserve"> </w:t>
      </w:r>
      <w:r w:rsidRPr="00AD3624">
        <w:rPr>
          <w:rFonts w:ascii="mylotus" w:hAnsi="mylotus"/>
          <w:sz w:val="34"/>
          <w:szCs w:val="34"/>
          <w:rtl/>
          <w:lang w:bidi="ar-BH"/>
        </w:rPr>
        <w:t>يَقْبِضَهَا</w:t>
      </w:r>
      <w:r w:rsidRPr="00AD3624">
        <w:rPr>
          <w:rFonts w:ascii="mylotus" w:hAnsi="mylotus"/>
          <w:sz w:val="34"/>
          <w:szCs w:val="34"/>
          <w:rtl/>
        </w:rPr>
        <w:t>،</w:t>
      </w:r>
      <w:r w:rsidRPr="00AD3624">
        <w:rPr>
          <w:rFonts w:ascii="mylotus" w:hAnsi="mylotus"/>
          <w:sz w:val="34"/>
          <w:szCs w:val="34"/>
          <w:rtl/>
          <w:lang w:bidi="ar-BH"/>
        </w:rPr>
        <w:t xml:space="preserve"> إِلاَّ أَنْ يَكُونَ مَعَهُ قَوْمٌ يُشَارِكُهُمْ فَيُخْرِجَهُ بَعْضُهُمْ مِنْ نَصِيبِهِ مِنْ شِرْكَتِهِ بِرِبْحٍ أَوْ يُوَلِّيَهُ بَعْضُهُمْ</w:t>
      </w:r>
      <w:r w:rsidRPr="00AD3624">
        <w:rPr>
          <w:rFonts w:ascii="mylotus" w:hAnsi="mylotus"/>
          <w:sz w:val="34"/>
          <w:szCs w:val="34"/>
          <w:rtl/>
        </w:rPr>
        <w:t>،</w:t>
      </w:r>
      <w:r w:rsidRPr="00AD3624">
        <w:rPr>
          <w:rFonts w:ascii="mylotus" w:hAnsi="mylotus"/>
          <w:sz w:val="34"/>
          <w:szCs w:val="34"/>
          <w:rtl/>
          <w:lang w:bidi="ar-BH"/>
        </w:rPr>
        <w:t xml:space="preserve"> فَلاَ بَأْس"</w:t>
      </w:r>
      <w:r w:rsidRPr="00AD3624">
        <w:rPr>
          <w:rFonts w:ascii="mylotus" w:hAnsi="mylotus"/>
          <w:sz w:val="34"/>
          <w:szCs w:val="34"/>
          <w:vertAlign w:val="superscript"/>
          <w:rtl/>
        </w:rPr>
        <w:t>(</w:t>
      </w:r>
      <w:r w:rsidRPr="00AD3624">
        <w:rPr>
          <w:rStyle w:val="ac"/>
          <w:rFonts w:ascii="mylotus" w:hAnsi="mylotus"/>
          <w:sz w:val="34"/>
          <w:szCs w:val="34"/>
          <w:rtl/>
        </w:rPr>
        <w:footnoteReference w:id="8"/>
      </w:r>
      <w:r w:rsidRPr="00AD3624">
        <w:rPr>
          <w:rFonts w:ascii="mylotus" w:hAnsi="mylotus"/>
          <w:sz w:val="34"/>
          <w:szCs w:val="34"/>
          <w:vertAlign w:val="superscript"/>
          <w:rtl/>
        </w:rPr>
        <w:t>)</w:t>
      </w:r>
      <w:r w:rsidRPr="00AD3624">
        <w:rPr>
          <w:rFonts w:ascii="mylotus" w:hAnsi="mylotus"/>
          <w:sz w:val="34"/>
          <w:szCs w:val="34"/>
          <w:rtl/>
          <w:lang w:bidi="ar-BH"/>
        </w:rPr>
        <w:t xml:space="preserve">. وظاهرُها أنّه لا يجوز بيعُ الطّعام قبل قبضه مطلقًا -ربحًا أو توليةً- إلا للشّريك. بينما ظاهر معتبرةُ عليّ بن جعفر </w:t>
      </w:r>
      <w:r w:rsidRPr="00AD3624">
        <w:rPr>
          <w:rFonts w:ascii="mylotus" w:hAnsi="mylotus"/>
          <w:sz w:val="34"/>
          <w:szCs w:val="34"/>
          <w:rtl/>
        </w:rPr>
        <w:t>-</w:t>
      </w:r>
      <w:r w:rsidRPr="00AD3624">
        <w:rPr>
          <w:rFonts w:ascii="mylotus" w:hAnsi="mylotus"/>
          <w:sz w:val="34"/>
          <w:szCs w:val="34"/>
          <w:rtl/>
          <w:lang w:bidi="ar-BH"/>
        </w:rPr>
        <w:t>عن أخيه موسى بن جعفر (عليهما السّلام) عن الرجل يشتري الطعام، أيصلح بيعه قبل أن يقبضه؟ قال: "إِذَا رَبِحَ لَمْ يَصْلُحْ حَتَّى يَقْبِضَ وَإِنْ كَانَ يُوَلِّيهِ فَلاَ بَأْس"</w:t>
      </w:r>
      <w:r w:rsidRPr="00AD3624">
        <w:rPr>
          <w:rFonts w:ascii="mylotus" w:hAnsi="mylotus"/>
          <w:sz w:val="34"/>
          <w:szCs w:val="34"/>
          <w:vertAlign w:val="superscript"/>
          <w:rtl/>
        </w:rPr>
        <w:t>(</w:t>
      </w:r>
      <w:r w:rsidRPr="00AD3624">
        <w:rPr>
          <w:rStyle w:val="ac"/>
          <w:rFonts w:ascii="mylotus" w:hAnsi="mylotus"/>
          <w:sz w:val="34"/>
          <w:szCs w:val="34"/>
          <w:rtl/>
        </w:rPr>
        <w:footnoteReference w:id="9"/>
      </w:r>
      <w:r w:rsidRPr="00AD3624">
        <w:rPr>
          <w:rFonts w:ascii="mylotus" w:hAnsi="mylotus"/>
          <w:sz w:val="34"/>
          <w:szCs w:val="34"/>
          <w:vertAlign w:val="superscript"/>
          <w:rtl/>
        </w:rPr>
        <w:t>)</w:t>
      </w:r>
      <w:r w:rsidRPr="00AD3624">
        <w:rPr>
          <w:rFonts w:ascii="mylotus" w:hAnsi="mylotus"/>
          <w:sz w:val="34"/>
          <w:szCs w:val="34"/>
          <w:rtl/>
        </w:rPr>
        <w:t xml:space="preserve">- </w:t>
      </w:r>
      <w:r w:rsidRPr="00AD3624">
        <w:rPr>
          <w:rFonts w:ascii="mylotus" w:hAnsi="mylotus"/>
          <w:sz w:val="34"/>
          <w:szCs w:val="34"/>
          <w:rtl/>
          <w:lang w:bidi="ar-BH"/>
        </w:rPr>
        <w:t xml:space="preserve">عدم التفصيل بين الشّريك وغيره، وإنّما المدارُ على الرّبح والتّولية. </w:t>
      </w:r>
      <w:r w:rsidRPr="00AD3624">
        <w:rPr>
          <w:rFonts w:ascii="mylotus" w:hAnsi="mylotus"/>
          <w:sz w:val="34"/>
          <w:szCs w:val="34"/>
          <w:rtl/>
        </w:rPr>
        <w:t xml:space="preserve">مما يعني </w:t>
      </w:r>
      <w:r w:rsidRPr="00AD3624">
        <w:rPr>
          <w:rFonts w:ascii="mylotus" w:hAnsi="mylotus"/>
          <w:sz w:val="34"/>
          <w:szCs w:val="34"/>
          <w:rtl/>
          <w:lang w:bidi="ar-BH"/>
        </w:rPr>
        <w:t>التّعارض بين الروايتين في الشّريك وغيره، أما في الشريك فمقتضى رواية سماعة جواز البيع عليه قبل القبض ربحا أو تولية، بينما مقتضى معتبرة علي بن جعفر عدم جواز البيع عليه ربحًا قبل القبض. وأما في غير الشريك، فمقتضى الأولى عدم الجواز مطلقًا، ومقتضى الثانية الجواز إن كان تولية، ومقتضى التّعارض الرّجوعُ إلى المرجّحات، والمرجّحُ مع الرواية الظاهرة في الجواز في كل من الفرضين، لموافقتها لإطلاق قوله تعالى: ﴿وَأَحَلَّ اللَّهُ الْبَيْعَ﴾ (انتهى)</w:t>
      </w:r>
      <w:r w:rsidRPr="00AD3624">
        <w:rPr>
          <w:rFonts w:ascii="mylotus" w:hAnsi="mylotus"/>
          <w:sz w:val="34"/>
          <w:szCs w:val="34"/>
          <w:rtl/>
        </w:rPr>
        <w:t>.</w:t>
      </w:r>
    </w:p>
    <w:p w14:paraId="5FBD185F" w14:textId="1E37DB70" w:rsidR="001E176D" w:rsidRPr="00EA715A" w:rsidRDefault="001E176D" w:rsidP="001E176D">
      <w:pPr>
        <w:pStyle w:val="a0"/>
        <w:bidi/>
        <w:rPr>
          <w:rFonts w:ascii="mylotus" w:hAnsi="mylotus"/>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84345" w14:textId="77777777" w:rsidR="00E131B6" w:rsidRDefault="00E131B6" w:rsidP="00A5027D">
      <w:pPr>
        <w:spacing w:line="240" w:lineRule="auto"/>
      </w:pPr>
      <w:r>
        <w:separator/>
      </w:r>
    </w:p>
  </w:endnote>
  <w:endnote w:type="continuationSeparator" w:id="0">
    <w:p w14:paraId="2A0A2BEE" w14:textId="77777777" w:rsidR="00E131B6" w:rsidRDefault="00E131B6"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0E87C" w14:textId="77777777" w:rsidR="00DB462A" w:rsidRDefault="00DB462A">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DB462A" w:rsidRPr="00DB462A">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647E45" w14:textId="77777777" w:rsidR="00DB462A" w:rsidRDefault="00DB462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F75CCC" w14:textId="77777777" w:rsidR="00E131B6" w:rsidRDefault="00E131B6" w:rsidP="00A5027D">
      <w:pPr>
        <w:spacing w:line="240" w:lineRule="auto"/>
      </w:pPr>
      <w:r>
        <w:separator/>
      </w:r>
    </w:p>
  </w:footnote>
  <w:footnote w:type="continuationSeparator" w:id="0">
    <w:p w14:paraId="444F87B0" w14:textId="77777777" w:rsidR="00E131B6" w:rsidRDefault="00E131B6" w:rsidP="00A5027D">
      <w:pPr>
        <w:spacing w:line="240" w:lineRule="auto"/>
      </w:pPr>
      <w:r>
        <w:continuationSeparator/>
      </w:r>
    </w:p>
  </w:footnote>
  <w:footnote w:id="1">
    <w:p w14:paraId="2AEC0755" w14:textId="77777777" w:rsidR="00AD3624" w:rsidRDefault="00AD3624" w:rsidP="00C22E12">
      <w:pPr>
        <w:pStyle w:val="a4"/>
      </w:pPr>
      <w:r w:rsidRPr="00E01CA0">
        <w:rPr>
          <w:rFonts w:hint="cs"/>
          <w:rtl/>
        </w:rPr>
        <w:t>(</w:t>
      </w:r>
      <w:r w:rsidRPr="00E01CA0">
        <w:rPr>
          <w:rStyle w:val="ac"/>
          <w:vertAlign w:val="baseline"/>
        </w:rPr>
        <w:footnoteRef/>
      </w:r>
      <w:r w:rsidRPr="00E01CA0">
        <w:rPr>
          <w:rFonts w:hint="cs"/>
          <w:rtl/>
        </w:rPr>
        <w:t>)</w:t>
      </w:r>
      <w:r>
        <w:rPr>
          <w:rtl/>
        </w:rPr>
        <w:t xml:space="preserve"> </w:t>
      </w:r>
      <w:r w:rsidRPr="00E01CA0">
        <w:rPr>
          <w:rFonts w:hint="cs"/>
          <w:b/>
          <w:bCs/>
          <w:rtl/>
        </w:rPr>
        <w:t>منهاج الصالحين</w:t>
      </w:r>
      <w:r>
        <w:rPr>
          <w:rFonts w:hint="cs"/>
          <w:rtl/>
        </w:rPr>
        <w:t>، السيد أبو القاسم الخوئي، كتاب التجارة، الفصل السابع في التسليم والقبض، المسألة 188.</w:t>
      </w:r>
    </w:p>
  </w:footnote>
  <w:footnote w:id="2">
    <w:p w14:paraId="3BE21535" w14:textId="77777777" w:rsidR="00AD3624" w:rsidRDefault="00AD3624" w:rsidP="00C22E12">
      <w:pPr>
        <w:pStyle w:val="a4"/>
      </w:pPr>
      <w:r w:rsidRPr="00AE6AE3">
        <w:rPr>
          <w:rFonts w:hint="cs"/>
          <w:rtl/>
        </w:rPr>
        <w:t>(</w:t>
      </w:r>
      <w:r w:rsidRPr="00AE6AE3">
        <w:rPr>
          <w:rStyle w:val="ac"/>
          <w:vertAlign w:val="baseline"/>
        </w:rPr>
        <w:footnoteRef/>
      </w:r>
      <w:r w:rsidRPr="00AE6AE3">
        <w:rPr>
          <w:rFonts w:hint="cs"/>
          <w:rtl/>
        </w:rPr>
        <w:t>)</w:t>
      </w:r>
      <w:r>
        <w:rPr>
          <w:rtl/>
        </w:rPr>
        <w:t xml:space="preserve"> </w:t>
      </w:r>
      <w:r>
        <w:rPr>
          <w:rFonts w:hint="cs"/>
          <w:rtl/>
        </w:rPr>
        <w:t xml:space="preserve">راجع: </w:t>
      </w:r>
      <w:r w:rsidRPr="00AE6AE3">
        <w:rPr>
          <w:rFonts w:hint="cs"/>
          <w:b/>
          <w:bCs/>
          <w:rtl/>
        </w:rPr>
        <w:t>وسائل الشيعة</w:t>
      </w:r>
      <w:r>
        <w:rPr>
          <w:rFonts w:hint="cs"/>
          <w:rtl/>
        </w:rPr>
        <w:t>، الحر العاملي، كتاب التجارة، الباب 16 من أبواب أحكام العقود، ح18.</w:t>
      </w:r>
    </w:p>
  </w:footnote>
  <w:footnote w:id="3">
    <w:p w14:paraId="6B54571C" w14:textId="77777777" w:rsidR="00AD3624" w:rsidRDefault="00AD3624" w:rsidP="00C22E12">
      <w:pPr>
        <w:pStyle w:val="a4"/>
      </w:pPr>
      <w:r w:rsidRPr="008E440A">
        <w:rPr>
          <w:rFonts w:hint="cs"/>
          <w:rtl/>
        </w:rPr>
        <w:t>(</w:t>
      </w:r>
      <w:r w:rsidRPr="008E440A">
        <w:rPr>
          <w:rStyle w:val="ac"/>
          <w:vertAlign w:val="baseline"/>
        </w:rPr>
        <w:footnoteRef/>
      </w:r>
      <w:r w:rsidRPr="008E440A">
        <w:rPr>
          <w:rFonts w:hint="cs"/>
          <w:rtl/>
        </w:rPr>
        <w:t>)</w:t>
      </w:r>
      <w:r>
        <w:rPr>
          <w:rtl/>
        </w:rPr>
        <w:t xml:space="preserve"> </w:t>
      </w:r>
      <w:r>
        <w:rPr>
          <w:rFonts w:hint="cs"/>
          <w:rtl/>
        </w:rPr>
        <w:t xml:space="preserve">راجع: </w:t>
      </w:r>
      <w:r w:rsidRPr="008E440A">
        <w:rPr>
          <w:rFonts w:hint="cs"/>
          <w:b/>
          <w:bCs/>
          <w:rtl/>
        </w:rPr>
        <w:t>وسائل الشيعة</w:t>
      </w:r>
      <w:r>
        <w:rPr>
          <w:rFonts w:hint="cs"/>
          <w:rtl/>
        </w:rPr>
        <w:t>، الحر العاملي، كتاب التجارة، الباب 16 من أبواب أحكام العقود، ح12.</w:t>
      </w:r>
    </w:p>
  </w:footnote>
  <w:footnote w:id="4">
    <w:p w14:paraId="1D9ECA9B" w14:textId="77777777" w:rsidR="00AD3624" w:rsidRDefault="00AD3624" w:rsidP="00C22E12">
      <w:pPr>
        <w:pStyle w:val="a4"/>
      </w:pPr>
      <w:r w:rsidRPr="004268D8">
        <w:rPr>
          <w:rFonts w:hint="cs"/>
          <w:rtl/>
        </w:rPr>
        <w:t>(</w:t>
      </w:r>
      <w:r w:rsidRPr="004268D8">
        <w:rPr>
          <w:rStyle w:val="ac"/>
          <w:vertAlign w:val="baseline"/>
        </w:rPr>
        <w:footnoteRef/>
      </w:r>
      <w:r w:rsidRPr="004268D8">
        <w:rPr>
          <w:rFonts w:hint="cs"/>
          <w:rtl/>
        </w:rPr>
        <w:t>)</w:t>
      </w:r>
      <w:r>
        <w:rPr>
          <w:rtl/>
        </w:rPr>
        <w:t xml:space="preserve"> </w:t>
      </w:r>
      <w:r w:rsidRPr="00567973">
        <w:rPr>
          <w:rFonts w:hint="cs"/>
          <w:b/>
          <w:bCs/>
          <w:rtl/>
        </w:rPr>
        <w:t>الحدائق الناضرة</w:t>
      </w:r>
      <w:r>
        <w:rPr>
          <w:rFonts w:hint="cs"/>
          <w:rtl/>
        </w:rPr>
        <w:t xml:space="preserve"> (ط: النشر الإسلامي)، الشيخ يوسف بن أحمد آل عصفور البحراني، ج18، ص471.</w:t>
      </w:r>
    </w:p>
  </w:footnote>
  <w:footnote w:id="5">
    <w:p w14:paraId="6FCF527B" w14:textId="77777777" w:rsidR="00AD3624" w:rsidRDefault="00AD3624" w:rsidP="00C22E12">
      <w:pPr>
        <w:pStyle w:val="a4"/>
      </w:pPr>
      <w:r w:rsidRPr="00092398">
        <w:rPr>
          <w:rFonts w:hint="cs"/>
          <w:rtl/>
        </w:rPr>
        <w:t>(</w:t>
      </w:r>
      <w:r w:rsidRPr="00092398">
        <w:rPr>
          <w:rStyle w:val="ac"/>
          <w:vertAlign w:val="baseline"/>
        </w:rPr>
        <w:footnoteRef/>
      </w:r>
      <w:r w:rsidRPr="00092398">
        <w:rPr>
          <w:rFonts w:hint="cs"/>
          <w:rtl/>
        </w:rPr>
        <w:t>)</w:t>
      </w:r>
      <w:r>
        <w:rPr>
          <w:rtl/>
        </w:rPr>
        <w:t xml:space="preserve"> </w:t>
      </w:r>
      <w:r w:rsidRPr="00092398">
        <w:rPr>
          <w:rFonts w:hint="cs"/>
          <w:b/>
          <w:bCs/>
          <w:rtl/>
        </w:rPr>
        <w:t>موسوعة السيد الخوئي</w:t>
      </w:r>
      <w:r>
        <w:rPr>
          <w:rFonts w:hint="cs"/>
          <w:rtl/>
        </w:rPr>
        <w:t xml:space="preserve">، السيد أبو القاسم الخوئي، </w:t>
      </w:r>
      <w:r>
        <w:rPr>
          <w:rFonts w:cs="Simplified Arabic"/>
          <w:rtl/>
          <w:lang w:bidi="ar-BH"/>
        </w:rPr>
        <w:t>ج37، ص378</w:t>
      </w:r>
      <w:r>
        <w:rPr>
          <w:rFonts w:hint="cs"/>
          <w:rtl/>
        </w:rPr>
        <w:t>.</w:t>
      </w:r>
    </w:p>
  </w:footnote>
  <w:footnote w:id="6">
    <w:p w14:paraId="7F9C1F08" w14:textId="77777777" w:rsidR="00AD3624" w:rsidRDefault="00AD3624" w:rsidP="00C22E12">
      <w:pPr>
        <w:pStyle w:val="a4"/>
      </w:pPr>
      <w:r w:rsidRPr="00D57167">
        <w:rPr>
          <w:rFonts w:hint="cs"/>
          <w:rtl/>
        </w:rPr>
        <w:t>(</w:t>
      </w:r>
      <w:r w:rsidRPr="00D57167">
        <w:rPr>
          <w:rStyle w:val="ac"/>
          <w:vertAlign w:val="baseline"/>
        </w:rPr>
        <w:footnoteRef/>
      </w:r>
      <w:r w:rsidRPr="00D57167">
        <w:rPr>
          <w:rFonts w:hint="cs"/>
          <w:rtl/>
        </w:rPr>
        <w:t>)</w:t>
      </w:r>
      <w:r>
        <w:rPr>
          <w:rtl/>
        </w:rPr>
        <w:t xml:space="preserve"> </w:t>
      </w:r>
      <w:r w:rsidRPr="00D57167">
        <w:rPr>
          <w:rFonts w:hint="cs"/>
          <w:b/>
          <w:bCs/>
          <w:rtl/>
        </w:rPr>
        <w:t>موسوعة السيد الخوئي</w:t>
      </w:r>
      <w:r>
        <w:rPr>
          <w:rFonts w:hint="cs"/>
          <w:rtl/>
        </w:rPr>
        <w:t xml:space="preserve">، السيد أبو القاسم الخوئي، ج37، </w:t>
      </w:r>
      <w:r>
        <w:rPr>
          <w:rFonts w:cs="Simplified Arabic"/>
          <w:rtl/>
          <w:lang w:bidi="ar-BH"/>
        </w:rPr>
        <w:t>ص379</w:t>
      </w:r>
      <w:r>
        <w:rPr>
          <w:rFonts w:hint="cs"/>
          <w:rtl/>
        </w:rPr>
        <w:t>.</w:t>
      </w:r>
    </w:p>
  </w:footnote>
  <w:footnote w:id="7">
    <w:p w14:paraId="235F7AE8" w14:textId="77777777" w:rsidR="00AD3624" w:rsidRDefault="00AD3624" w:rsidP="00C22E12">
      <w:pPr>
        <w:pStyle w:val="a4"/>
      </w:pPr>
      <w:r w:rsidRPr="00444084">
        <w:rPr>
          <w:rFonts w:hint="cs"/>
          <w:rtl/>
        </w:rPr>
        <w:t>(</w:t>
      </w:r>
      <w:r w:rsidRPr="00444084">
        <w:rPr>
          <w:rStyle w:val="ac"/>
          <w:vertAlign w:val="baseline"/>
        </w:rPr>
        <w:footnoteRef/>
      </w:r>
      <w:r w:rsidRPr="00444084">
        <w:rPr>
          <w:rFonts w:hint="cs"/>
          <w:rtl/>
        </w:rPr>
        <w:t>)</w:t>
      </w:r>
      <w:r>
        <w:rPr>
          <w:rtl/>
        </w:rPr>
        <w:t xml:space="preserve"> </w:t>
      </w:r>
      <w:r w:rsidRPr="00444084">
        <w:rPr>
          <w:rFonts w:hint="cs"/>
          <w:b/>
          <w:bCs/>
          <w:rtl/>
        </w:rPr>
        <w:t>مباني منهاج الصالحين</w:t>
      </w:r>
      <w:r>
        <w:rPr>
          <w:rFonts w:hint="cs"/>
          <w:rtl/>
        </w:rPr>
        <w:t xml:space="preserve">، السيد تقي القمي، </w:t>
      </w:r>
      <w:r>
        <w:rPr>
          <w:rFonts w:cs="Simplified Arabic"/>
          <w:rtl/>
          <w:lang w:bidi="ar-BH"/>
        </w:rPr>
        <w:t>ج8، ص153-160</w:t>
      </w:r>
      <w:r>
        <w:rPr>
          <w:rFonts w:hint="cs"/>
          <w:rtl/>
        </w:rPr>
        <w:t>.</w:t>
      </w:r>
    </w:p>
  </w:footnote>
  <w:footnote w:id="8">
    <w:p w14:paraId="20FAD9A5" w14:textId="77777777" w:rsidR="00AD3624" w:rsidRDefault="00AD3624" w:rsidP="00C22E12">
      <w:pPr>
        <w:pStyle w:val="a4"/>
      </w:pPr>
      <w:r w:rsidRPr="00250093">
        <w:rPr>
          <w:rFonts w:hint="cs"/>
          <w:rtl/>
        </w:rPr>
        <w:t>(</w:t>
      </w:r>
      <w:r w:rsidRPr="00250093">
        <w:rPr>
          <w:rStyle w:val="ac"/>
          <w:vertAlign w:val="baseline"/>
        </w:rPr>
        <w:footnoteRef/>
      </w:r>
      <w:r w:rsidRPr="00250093">
        <w:rPr>
          <w:rFonts w:hint="cs"/>
          <w:rtl/>
        </w:rPr>
        <w:t>)</w:t>
      </w:r>
      <w:r>
        <w:rPr>
          <w:rtl/>
        </w:rPr>
        <w:t xml:space="preserve"> </w:t>
      </w:r>
      <w:r>
        <w:rPr>
          <w:rFonts w:hint="cs"/>
          <w:rtl/>
        </w:rPr>
        <w:t xml:space="preserve">راجع: </w:t>
      </w:r>
      <w:r w:rsidRPr="00250093">
        <w:rPr>
          <w:rFonts w:hint="cs"/>
          <w:b/>
          <w:bCs/>
          <w:rtl/>
        </w:rPr>
        <w:t>وسائل الشيعة</w:t>
      </w:r>
      <w:r>
        <w:rPr>
          <w:rFonts w:hint="cs"/>
          <w:rtl/>
        </w:rPr>
        <w:t>، الحر العاملي، كتاب التجارة، الباب 16 من أبواب أحكام العقود، ح15.</w:t>
      </w:r>
    </w:p>
  </w:footnote>
  <w:footnote w:id="9">
    <w:p w14:paraId="527C4DBB" w14:textId="77777777" w:rsidR="00AD3624" w:rsidRDefault="00AD3624" w:rsidP="00C22E12">
      <w:pPr>
        <w:pStyle w:val="a4"/>
      </w:pPr>
      <w:r w:rsidRPr="00F32F87">
        <w:rPr>
          <w:rFonts w:hint="cs"/>
          <w:rtl/>
        </w:rPr>
        <w:t>(</w:t>
      </w:r>
      <w:r w:rsidRPr="00F32F87">
        <w:rPr>
          <w:rStyle w:val="ac"/>
          <w:vertAlign w:val="baseline"/>
        </w:rPr>
        <w:footnoteRef/>
      </w:r>
      <w:r w:rsidRPr="00F32F87">
        <w:rPr>
          <w:rFonts w:hint="cs"/>
          <w:rtl/>
        </w:rPr>
        <w:t>)</w:t>
      </w:r>
      <w:r>
        <w:rPr>
          <w:rtl/>
        </w:rPr>
        <w:t xml:space="preserve"> </w:t>
      </w:r>
      <w:r>
        <w:rPr>
          <w:rFonts w:hint="cs"/>
          <w:rtl/>
        </w:rPr>
        <w:t xml:space="preserve">راجع: </w:t>
      </w:r>
      <w:r w:rsidRPr="00250093">
        <w:rPr>
          <w:rFonts w:hint="cs"/>
          <w:b/>
          <w:bCs/>
          <w:rtl/>
        </w:rPr>
        <w:t>وسائل الشيعة</w:t>
      </w:r>
      <w:r>
        <w:rPr>
          <w:rFonts w:hint="cs"/>
          <w:rtl/>
        </w:rPr>
        <w:t>، الحر العاملي، كتاب التجارة، الباب 16 من أبواب أحكام العقود، ح9.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7AD8D" w14:textId="77777777" w:rsidR="00DB462A" w:rsidRDefault="00DB462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69F57D18" w:rsidR="00B07F43" w:rsidRDefault="00B8145D" w:rsidP="00DB462A">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bookmarkStart w:id="0" w:name="_GoBack"/>
    <w:r w:rsidRPr="00EF47A8">
      <w:rPr>
        <w:rFonts w:ascii="mylotus" w:hAnsi="mylotus" w:cs="mylotus"/>
        <w:color w:val="FF0000"/>
        <w:sz w:val="24"/>
        <w:szCs w:val="24"/>
        <w:rtl/>
      </w:rPr>
      <w:t xml:space="preserve">بحث فقه المسائل المستحدثة </w:t>
    </w:r>
    <w:r w:rsidRPr="00EF47A8">
      <w:rPr>
        <w:rFonts w:ascii="mylotus" w:hAnsi="mylotus" w:cs="mylotus" w:hint="cs"/>
        <w:color w:val="FF0000"/>
        <w:sz w:val="24"/>
        <w:szCs w:val="24"/>
        <w:rtl/>
      </w:rPr>
      <w:t>(</w:t>
    </w:r>
    <w:r w:rsidR="0022137A">
      <w:rPr>
        <w:rFonts w:ascii="mylotus" w:hAnsi="mylotus" w:cs="mylotus" w:hint="cs"/>
        <w:color w:val="FF0000"/>
        <w:sz w:val="24"/>
        <w:szCs w:val="24"/>
        <w:rtl/>
      </w:rPr>
      <w:t>19</w:t>
    </w:r>
    <w:r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DB462A">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22137A">
      <w:rPr>
        <w:rFonts w:ascii="mylotus" w:hAnsi="mylotus" w:cs="mylotus" w:hint="cs"/>
        <w:color w:val="FF0000"/>
        <w:sz w:val="24"/>
        <w:szCs w:val="24"/>
        <w:rtl/>
      </w:rPr>
      <w:t>8</w:t>
    </w:r>
    <w:r w:rsidR="00DB462A">
      <w:rPr>
        <w:rFonts w:ascii="mylotus" w:hAnsi="mylotus" w:cs="mylotus" w:hint="cs"/>
        <w:color w:val="FF0000"/>
        <w:sz w:val="24"/>
        <w:szCs w:val="24"/>
        <w:rtl/>
      </w:rPr>
      <w:t xml:space="preserve"> </w:t>
    </w:r>
    <w:r w:rsidR="002F7D24" w:rsidRPr="00EF47A8">
      <w:rPr>
        <w:rFonts w:ascii="mylotus" w:hAnsi="mylotus" w:cs="mylotus"/>
        <w:color w:val="FF0000"/>
        <w:sz w:val="24"/>
        <w:szCs w:val="24"/>
        <w:rtl/>
      </w:rPr>
      <w:t xml:space="preserve">- ليلة </w:t>
    </w:r>
    <w:r w:rsidR="00806B6F">
      <w:rPr>
        <w:rFonts w:ascii="mylotus" w:hAnsi="mylotus" w:cs="mylotus" w:hint="cs"/>
        <w:color w:val="FF0000"/>
        <w:sz w:val="24"/>
        <w:szCs w:val="24"/>
        <w:rtl/>
      </w:rPr>
      <w:t>ال</w:t>
    </w:r>
    <w:r w:rsidR="0022137A">
      <w:rPr>
        <w:rFonts w:ascii="mylotus" w:hAnsi="mylotus" w:cs="mylotus" w:hint="cs"/>
        <w:color w:val="FF0000"/>
        <w:sz w:val="24"/>
        <w:szCs w:val="24"/>
        <w:rtl/>
      </w:rPr>
      <w:t>اثنين</w:t>
    </w:r>
    <w:r w:rsidR="00806B6F">
      <w:rPr>
        <w:rFonts w:ascii="mylotus" w:hAnsi="mylotus" w:cs="mylotus" w:hint="cs"/>
        <w:color w:val="FF0000"/>
        <w:sz w:val="24"/>
        <w:szCs w:val="24"/>
        <w:rtl/>
      </w:rPr>
      <w:t xml:space="preserve"> </w:t>
    </w:r>
    <w:r w:rsidR="0022137A">
      <w:rPr>
        <w:rFonts w:ascii="mylotus" w:hAnsi="mylotus" w:cs="mylotus" w:hint="cs"/>
        <w:color w:val="FF0000"/>
        <w:sz w:val="24"/>
        <w:szCs w:val="24"/>
        <w:rtl/>
      </w:rPr>
      <w:t>26</w:t>
    </w:r>
    <w:r w:rsidR="00EA4CCD">
      <w:rPr>
        <w:rFonts w:ascii="mylotus" w:hAnsi="mylotus" w:cs="mylotus" w:hint="cs"/>
        <w:color w:val="FF0000"/>
        <w:sz w:val="24"/>
        <w:szCs w:val="24"/>
        <w:rtl/>
      </w:rPr>
      <w:t xml:space="preserve"> </w:t>
    </w:r>
    <w:r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00B07F43"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DD96D" w14:textId="77777777" w:rsidR="00DB462A" w:rsidRDefault="00DB462A">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564E3"/>
    <w:rsid w:val="000634C0"/>
    <w:rsid w:val="00075AD1"/>
    <w:rsid w:val="00075B8F"/>
    <w:rsid w:val="00083EE7"/>
    <w:rsid w:val="00085C01"/>
    <w:rsid w:val="000868A0"/>
    <w:rsid w:val="00086E17"/>
    <w:rsid w:val="00092277"/>
    <w:rsid w:val="000A1086"/>
    <w:rsid w:val="000C2631"/>
    <w:rsid w:val="000E2746"/>
    <w:rsid w:val="000E2AF5"/>
    <w:rsid w:val="000F2D22"/>
    <w:rsid w:val="00102391"/>
    <w:rsid w:val="00104288"/>
    <w:rsid w:val="00111AE8"/>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33B8"/>
    <w:rsid w:val="002339F1"/>
    <w:rsid w:val="002438AD"/>
    <w:rsid w:val="0024499D"/>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7D24"/>
    <w:rsid w:val="003003D1"/>
    <w:rsid w:val="00304E78"/>
    <w:rsid w:val="00307D3B"/>
    <w:rsid w:val="0031457C"/>
    <w:rsid w:val="00316628"/>
    <w:rsid w:val="003228E8"/>
    <w:rsid w:val="003265B6"/>
    <w:rsid w:val="00330B70"/>
    <w:rsid w:val="00331615"/>
    <w:rsid w:val="00341791"/>
    <w:rsid w:val="00346652"/>
    <w:rsid w:val="0035443E"/>
    <w:rsid w:val="0035715B"/>
    <w:rsid w:val="00377171"/>
    <w:rsid w:val="00382085"/>
    <w:rsid w:val="0038241F"/>
    <w:rsid w:val="00396289"/>
    <w:rsid w:val="003A0D7F"/>
    <w:rsid w:val="003A4C77"/>
    <w:rsid w:val="003C27B3"/>
    <w:rsid w:val="003C2A3E"/>
    <w:rsid w:val="003C5C22"/>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4327"/>
    <w:rsid w:val="00623790"/>
    <w:rsid w:val="006248DE"/>
    <w:rsid w:val="006254BE"/>
    <w:rsid w:val="006333B1"/>
    <w:rsid w:val="00635330"/>
    <w:rsid w:val="00637DBE"/>
    <w:rsid w:val="0064120C"/>
    <w:rsid w:val="006437AD"/>
    <w:rsid w:val="00646A5D"/>
    <w:rsid w:val="00652CA2"/>
    <w:rsid w:val="00657D5F"/>
    <w:rsid w:val="0067710E"/>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959F8"/>
    <w:rsid w:val="007A1A5D"/>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60CA"/>
    <w:rsid w:val="0098687C"/>
    <w:rsid w:val="00991053"/>
    <w:rsid w:val="00994D9F"/>
    <w:rsid w:val="009954B5"/>
    <w:rsid w:val="009B06C8"/>
    <w:rsid w:val="009B1550"/>
    <w:rsid w:val="009B31A9"/>
    <w:rsid w:val="009B4C10"/>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31632"/>
    <w:rsid w:val="00A43232"/>
    <w:rsid w:val="00A46DB2"/>
    <w:rsid w:val="00A5027D"/>
    <w:rsid w:val="00A53FEA"/>
    <w:rsid w:val="00A61AD6"/>
    <w:rsid w:val="00A63606"/>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B000B3"/>
    <w:rsid w:val="00B05107"/>
    <w:rsid w:val="00B05627"/>
    <w:rsid w:val="00B07F43"/>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744BC"/>
    <w:rsid w:val="00D83D98"/>
    <w:rsid w:val="00D84C80"/>
    <w:rsid w:val="00D965CE"/>
    <w:rsid w:val="00D969B9"/>
    <w:rsid w:val="00DA0B26"/>
    <w:rsid w:val="00DA2BF6"/>
    <w:rsid w:val="00DA5779"/>
    <w:rsid w:val="00DA7AC6"/>
    <w:rsid w:val="00DB1F3D"/>
    <w:rsid w:val="00DB462A"/>
    <w:rsid w:val="00DD08B6"/>
    <w:rsid w:val="00DD33E6"/>
    <w:rsid w:val="00DD777B"/>
    <w:rsid w:val="00DF0E53"/>
    <w:rsid w:val="00DF1A38"/>
    <w:rsid w:val="00DF2071"/>
    <w:rsid w:val="00E02CFA"/>
    <w:rsid w:val="00E042E1"/>
    <w:rsid w:val="00E131B6"/>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7C5B"/>
    <w:rsid w:val="00F9000E"/>
    <w:rsid w:val="00FB2461"/>
    <w:rsid w:val="00FB259A"/>
    <w:rsid w:val="00FB4C6F"/>
    <w:rsid w:val="00FB5742"/>
    <w:rsid w:val="00FB61E8"/>
    <w:rsid w:val="00FC195A"/>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1152A-33F9-443F-90D6-EFC49EF65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986</Words>
  <Characters>5622</Characters>
  <Application>Microsoft Office Word</Application>
  <DocSecurity>0</DocSecurity>
  <Lines>46</Lines>
  <Paragraphs>13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2026-03-25T07:41:00Z</cp:lastPrinted>
  <dcterms:created xsi:type="dcterms:W3CDTF">2026-03-29T14:17:00Z</dcterms:created>
  <dcterms:modified xsi:type="dcterms:W3CDTF">2026-03-29T14:17:00Z</dcterms:modified>
</cp:coreProperties>
</file>