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0264BD0" w14:textId="77777777" w:rsidR="00AD3624" w:rsidRDefault="00AD3624" w:rsidP="00AD3624">
      <w:pPr>
        <w:rPr>
          <w:rtl/>
        </w:rPr>
      </w:pPr>
    </w:p>
    <w:p w14:paraId="2924B2CE" w14:textId="77777777" w:rsidR="00F83FCA" w:rsidRPr="00F83FCA" w:rsidRDefault="00F83FCA" w:rsidP="00F83FCA">
      <w:pPr>
        <w:pStyle w:val="a0"/>
        <w:bidi/>
        <w:rPr>
          <w:rFonts w:ascii="mylotus" w:hAnsi="mylotus"/>
          <w:sz w:val="34"/>
          <w:szCs w:val="34"/>
          <w:rtl/>
        </w:rPr>
      </w:pPr>
      <w:r w:rsidRPr="000C0E66">
        <w:rPr>
          <w:rFonts w:ascii="mylotus" w:hAnsi="mylotus"/>
          <w:b/>
          <w:bCs/>
          <w:sz w:val="34"/>
          <w:szCs w:val="34"/>
          <w:rtl/>
          <w:lang w:bidi="ar-BH"/>
        </w:rPr>
        <w:t>والحاصل:</w:t>
      </w:r>
      <w:r w:rsidRPr="00F83FCA">
        <w:rPr>
          <w:rFonts w:ascii="mylotus" w:hAnsi="mylotus"/>
          <w:sz w:val="34"/>
          <w:szCs w:val="34"/>
          <w:rtl/>
          <w:lang w:bidi="ar-BH"/>
        </w:rPr>
        <w:t xml:space="preserve"> أن</w:t>
      </w:r>
      <w:r w:rsidRPr="00F83FCA">
        <w:rPr>
          <w:rFonts w:ascii="mylotus" w:hAnsi="mylotus"/>
          <w:sz w:val="34"/>
          <w:szCs w:val="34"/>
          <w:rtl/>
        </w:rPr>
        <w:t xml:space="preserve"> </w:t>
      </w:r>
      <w:r w:rsidRPr="00F83FCA">
        <w:rPr>
          <w:rFonts w:ascii="mylotus" w:hAnsi="mylotus"/>
          <w:sz w:val="34"/>
          <w:szCs w:val="34"/>
          <w:rtl/>
          <w:lang w:bidi="ar-BH"/>
        </w:rPr>
        <w:t>معتبرة عليّ بن جعفر جعلت المدار على التولية في الجواز، وموثّقة سماعة جعلت المدار على كون المشتري شريكًا بغضّ النظر عن المرابحة والتولية. فهما متعارضان بنحو العموم من وجه.</w:t>
      </w:r>
    </w:p>
    <w:p w14:paraId="7FEC502A" w14:textId="77777777" w:rsidR="00F83FCA" w:rsidRPr="0023198C" w:rsidRDefault="00F83FCA" w:rsidP="00F83FCA">
      <w:pPr>
        <w:pStyle w:val="a0"/>
        <w:bidi/>
        <w:rPr>
          <w:rFonts w:ascii="mylotus" w:hAnsi="mylotus"/>
          <w:b/>
          <w:bCs/>
          <w:sz w:val="34"/>
          <w:szCs w:val="34"/>
          <w:rtl/>
        </w:rPr>
      </w:pPr>
      <w:r w:rsidRPr="0023198C">
        <w:rPr>
          <w:rFonts w:ascii="mylotus" w:hAnsi="mylotus"/>
          <w:b/>
          <w:bCs/>
          <w:sz w:val="34"/>
          <w:szCs w:val="34"/>
          <w:rtl/>
          <w:lang w:bidi="ar-BH"/>
        </w:rPr>
        <w:t>وتنقيح المطلب يعتمد على بحث عدّة جهاتٍ:</w:t>
      </w:r>
    </w:p>
    <w:p w14:paraId="27CC5877" w14:textId="77777777" w:rsidR="00F83FCA" w:rsidRPr="0023198C" w:rsidRDefault="00F83FCA" w:rsidP="00F83FCA">
      <w:pPr>
        <w:pStyle w:val="a0"/>
        <w:bidi/>
        <w:rPr>
          <w:rFonts w:ascii="mylotus" w:hAnsi="mylotus"/>
          <w:b/>
          <w:bCs/>
          <w:sz w:val="34"/>
          <w:szCs w:val="34"/>
          <w:rtl/>
        </w:rPr>
      </w:pPr>
      <w:r w:rsidRPr="0023198C">
        <w:rPr>
          <w:rFonts w:ascii="mylotus" w:hAnsi="mylotus"/>
          <w:b/>
          <w:bCs/>
          <w:sz w:val="34"/>
          <w:szCs w:val="34"/>
          <w:rtl/>
          <w:lang w:bidi="ar-BH"/>
        </w:rPr>
        <w:t>الجهة الأولى: هل لعنوان الشريك في موثقة سماعة موضوعيّة؟</w:t>
      </w:r>
    </w:p>
    <w:p w14:paraId="656A94C9" w14:textId="77777777" w:rsidR="00F83FCA" w:rsidRPr="00F83FCA" w:rsidRDefault="00F83FCA" w:rsidP="00F83FCA">
      <w:pPr>
        <w:pStyle w:val="a0"/>
        <w:bidi/>
        <w:rPr>
          <w:rFonts w:ascii="mylotus" w:hAnsi="mylotus"/>
          <w:sz w:val="34"/>
          <w:szCs w:val="34"/>
          <w:rtl/>
        </w:rPr>
      </w:pPr>
      <w:r w:rsidRPr="00F83FCA">
        <w:rPr>
          <w:rFonts w:ascii="mylotus" w:hAnsi="mylotus"/>
          <w:sz w:val="34"/>
          <w:szCs w:val="34"/>
          <w:rtl/>
          <w:lang w:bidi="ar-BH"/>
        </w:rPr>
        <w:t>قد يقال: إن المنصرف من المستثنى في موثقة سماعة فرض كون الطعام تحت سلطة الشريكين معا وإن لم يتم القبض حسا، مما يعني أن لا موضوعيّة لعنوان الشريك، وإنّما استثني من عموم المنع لأنّ البيع عليه مرابحةً بيعٌ بقبضٍ لا بيعٌ بدون قبضٍ، إذ لا</w:t>
      </w:r>
      <w:r w:rsidRPr="00F83FCA">
        <w:rPr>
          <w:rFonts w:ascii="mylotus" w:hAnsi="mylotus"/>
          <w:sz w:val="34"/>
          <w:szCs w:val="34"/>
          <w:rtl/>
        </w:rPr>
        <w:t xml:space="preserve"> </w:t>
      </w:r>
      <w:r w:rsidRPr="00F83FCA">
        <w:rPr>
          <w:rFonts w:ascii="mylotus" w:hAnsi="mylotus"/>
          <w:sz w:val="34"/>
          <w:szCs w:val="34"/>
          <w:rtl/>
          <w:lang w:bidi="ar-BH"/>
        </w:rPr>
        <w:t xml:space="preserve">ثمرة </w:t>
      </w:r>
      <w:proofErr w:type="spellStart"/>
      <w:r w:rsidRPr="00F83FCA">
        <w:rPr>
          <w:rFonts w:ascii="mylotus" w:hAnsi="mylotus"/>
          <w:sz w:val="34"/>
          <w:szCs w:val="34"/>
          <w:rtl/>
          <w:lang w:bidi="ar-BH"/>
        </w:rPr>
        <w:t>لل</w:t>
      </w:r>
      <w:proofErr w:type="spellEnd"/>
      <w:r w:rsidRPr="00F83FCA">
        <w:rPr>
          <w:rFonts w:ascii="mylotus" w:hAnsi="mylotus"/>
          <w:sz w:val="34"/>
          <w:szCs w:val="34"/>
          <w:rtl/>
        </w:rPr>
        <w:t>إ</w:t>
      </w:r>
      <w:r w:rsidRPr="00F83FCA">
        <w:rPr>
          <w:rFonts w:ascii="mylotus" w:hAnsi="mylotus"/>
          <w:sz w:val="34"/>
          <w:szCs w:val="34"/>
          <w:rtl/>
          <w:lang w:bidi="ar-BH"/>
        </w:rPr>
        <w:t>قباض بمعنى الفرز مع أنه واقع تحت سلطنة المشتري.</w:t>
      </w:r>
      <w:r w:rsidRPr="00F83FCA">
        <w:rPr>
          <w:rFonts w:ascii="mylotus" w:hAnsi="mylotus"/>
          <w:sz w:val="34"/>
          <w:szCs w:val="34"/>
          <w:rtl/>
        </w:rPr>
        <w:t xml:space="preserve"> </w:t>
      </w:r>
    </w:p>
    <w:p w14:paraId="44DACEC4" w14:textId="77777777" w:rsidR="00F83FCA" w:rsidRPr="00F83FCA" w:rsidRDefault="00F83FCA" w:rsidP="00F83FCA">
      <w:pPr>
        <w:pStyle w:val="a0"/>
        <w:bidi/>
        <w:rPr>
          <w:rFonts w:ascii="mylotus" w:hAnsi="mylotus"/>
          <w:sz w:val="34"/>
          <w:szCs w:val="34"/>
          <w:rtl/>
        </w:rPr>
      </w:pPr>
      <w:r w:rsidRPr="00F83FCA">
        <w:rPr>
          <w:rFonts w:ascii="mylotus" w:hAnsi="mylotus"/>
          <w:sz w:val="34"/>
          <w:szCs w:val="34"/>
          <w:rtl/>
          <w:lang w:bidi="ar-BH"/>
        </w:rPr>
        <w:t>فلا</w:t>
      </w:r>
      <w:r w:rsidRPr="00F83FCA">
        <w:rPr>
          <w:rFonts w:ascii="mylotus" w:hAnsi="mylotus"/>
          <w:sz w:val="34"/>
          <w:szCs w:val="34"/>
          <w:rtl/>
        </w:rPr>
        <w:t xml:space="preserve"> </w:t>
      </w:r>
      <w:r w:rsidRPr="00F83FCA">
        <w:rPr>
          <w:rFonts w:ascii="mylotus" w:hAnsi="mylotus"/>
          <w:sz w:val="34"/>
          <w:szCs w:val="34"/>
          <w:rtl/>
          <w:lang w:bidi="ar-BH"/>
        </w:rPr>
        <w:t>تعارض بين مفاد</w:t>
      </w:r>
      <w:r w:rsidRPr="00F83FCA">
        <w:rPr>
          <w:rFonts w:ascii="mylotus" w:hAnsi="mylotus"/>
          <w:sz w:val="34"/>
          <w:szCs w:val="34"/>
          <w:rtl/>
        </w:rPr>
        <w:t xml:space="preserve"> موثقة سماعة</w:t>
      </w:r>
      <w:r w:rsidRPr="00F83FCA">
        <w:rPr>
          <w:rFonts w:ascii="mylotus" w:hAnsi="mylotus"/>
          <w:sz w:val="34"/>
          <w:szCs w:val="34"/>
          <w:rtl/>
          <w:lang w:bidi="ar-BH"/>
        </w:rPr>
        <w:t xml:space="preserve"> ومفاد معتبرة عليّ بن جعفر</w:t>
      </w:r>
      <w:r w:rsidRPr="00F83FCA">
        <w:rPr>
          <w:rFonts w:ascii="mylotus" w:hAnsi="mylotus"/>
          <w:sz w:val="34"/>
          <w:szCs w:val="34"/>
          <w:rtl/>
        </w:rPr>
        <w:t>، و</w:t>
      </w:r>
      <w:r w:rsidRPr="00F83FCA">
        <w:rPr>
          <w:rFonts w:ascii="mylotus" w:hAnsi="mylotus"/>
          <w:sz w:val="34"/>
          <w:szCs w:val="34"/>
          <w:rtl/>
          <w:lang w:bidi="ar-BH"/>
        </w:rPr>
        <w:t>طريق الشيخ إليه طريقٌ صحيحٌ؛ لأنّ الشيخ ابتدأ الرواية باسمه قال: "وسأل عليّ بن جعفر أخاه موسى" كما في التهذيب</w:t>
      </w:r>
      <w:r w:rsidRPr="00F83FCA">
        <w:rPr>
          <w:rFonts w:ascii="mylotus" w:hAnsi="mylotus"/>
          <w:sz w:val="34"/>
          <w:szCs w:val="34"/>
          <w:vertAlign w:val="superscript"/>
          <w:rtl/>
          <w:lang w:bidi="ar-BH"/>
        </w:rPr>
        <w:t>(</w:t>
      </w:r>
      <w:r w:rsidRPr="00F83FCA">
        <w:rPr>
          <w:rStyle w:val="ac"/>
          <w:rFonts w:ascii="mylotus" w:hAnsi="mylotus"/>
          <w:sz w:val="34"/>
          <w:szCs w:val="34"/>
          <w:rtl/>
        </w:rPr>
        <w:footnoteReference w:id="1"/>
      </w:r>
      <w:r w:rsidRPr="00F83FCA">
        <w:rPr>
          <w:rFonts w:ascii="mylotus" w:hAnsi="mylotus"/>
          <w:sz w:val="34"/>
          <w:szCs w:val="34"/>
          <w:vertAlign w:val="superscript"/>
          <w:rtl/>
          <w:lang w:bidi="ar-BH"/>
        </w:rPr>
        <w:t>)</w:t>
      </w:r>
      <w:r w:rsidRPr="00F83FCA">
        <w:rPr>
          <w:rFonts w:ascii="mylotus" w:hAnsi="mylotus"/>
          <w:sz w:val="34"/>
          <w:szCs w:val="34"/>
          <w:rtl/>
          <w:lang w:bidi="ar-BH"/>
        </w:rPr>
        <w:t xml:space="preserve">، وقد ذكر في المشيخة قال: "ما ذكرته عن عليّ بن جعفر فقد أخبرني به الحسين بن عبيد الله، عن أحمد بن محمّد بن يحيى، عن أبيه محمّد بن يحيى، عن </w:t>
      </w:r>
      <w:proofErr w:type="spellStart"/>
      <w:r w:rsidRPr="00F83FCA">
        <w:rPr>
          <w:rFonts w:ascii="mylotus" w:hAnsi="mylotus"/>
          <w:sz w:val="34"/>
          <w:szCs w:val="34"/>
          <w:rtl/>
          <w:lang w:bidi="ar-BH"/>
        </w:rPr>
        <w:t>العمركيّ</w:t>
      </w:r>
      <w:proofErr w:type="spellEnd"/>
      <w:r w:rsidRPr="00F83FCA">
        <w:rPr>
          <w:rFonts w:ascii="mylotus" w:hAnsi="mylotus"/>
          <w:sz w:val="34"/>
          <w:szCs w:val="34"/>
          <w:rtl/>
          <w:lang w:bidi="ar-BH"/>
        </w:rPr>
        <w:t xml:space="preserve"> النيسابوريّ </w:t>
      </w:r>
      <w:proofErr w:type="spellStart"/>
      <w:r w:rsidRPr="00F83FCA">
        <w:rPr>
          <w:rFonts w:ascii="mylotus" w:hAnsi="mylotus"/>
          <w:sz w:val="34"/>
          <w:szCs w:val="34"/>
          <w:rtl/>
          <w:lang w:bidi="ar-BH"/>
        </w:rPr>
        <w:t>البوفكيّ</w:t>
      </w:r>
      <w:proofErr w:type="spellEnd"/>
      <w:r w:rsidRPr="00F83FCA">
        <w:rPr>
          <w:rFonts w:ascii="mylotus" w:hAnsi="mylotus"/>
          <w:sz w:val="34"/>
          <w:szCs w:val="34"/>
          <w:rtl/>
          <w:lang w:bidi="ar-BH"/>
        </w:rPr>
        <w:t>، عن عليّ بن جعفر"</w:t>
      </w:r>
      <w:r w:rsidRPr="00F83FCA">
        <w:rPr>
          <w:rFonts w:ascii="mylotus" w:hAnsi="mylotus"/>
          <w:sz w:val="34"/>
          <w:szCs w:val="34"/>
          <w:vertAlign w:val="superscript"/>
          <w:rtl/>
        </w:rPr>
        <w:t>(</w:t>
      </w:r>
      <w:r w:rsidRPr="00F83FCA">
        <w:rPr>
          <w:rStyle w:val="ac"/>
          <w:rFonts w:ascii="mylotus" w:hAnsi="mylotus"/>
          <w:sz w:val="34"/>
          <w:szCs w:val="34"/>
          <w:rtl/>
        </w:rPr>
        <w:footnoteReference w:id="2"/>
      </w:r>
      <w:r w:rsidRPr="00F83FCA">
        <w:rPr>
          <w:rFonts w:ascii="mylotus" w:hAnsi="mylotus"/>
          <w:sz w:val="34"/>
          <w:szCs w:val="34"/>
          <w:vertAlign w:val="superscript"/>
          <w:rtl/>
        </w:rPr>
        <w:t>)</w:t>
      </w:r>
      <w:r w:rsidRPr="00F83FCA">
        <w:rPr>
          <w:rFonts w:ascii="mylotus" w:hAnsi="mylotus"/>
          <w:sz w:val="34"/>
          <w:szCs w:val="34"/>
          <w:rtl/>
          <w:lang w:bidi="ar-BH"/>
        </w:rPr>
        <w:t>. والسند تامٌّ إلّا أنّ أحمد بن محمّد بن يحيى لم يوثّق، لكنّه من مشايخ الإجازة لكتب أبيه محمّد بن يحيى، وذكر</w:t>
      </w:r>
      <w:r w:rsidRPr="00F83FCA">
        <w:rPr>
          <w:rFonts w:ascii="mylotus" w:hAnsi="mylotus"/>
          <w:sz w:val="34"/>
          <w:szCs w:val="34"/>
          <w:rtl/>
        </w:rPr>
        <w:t xml:space="preserve"> </w:t>
      </w:r>
      <w:r w:rsidRPr="00F83FCA">
        <w:rPr>
          <w:rFonts w:ascii="mylotus" w:hAnsi="mylotus"/>
          <w:sz w:val="34"/>
          <w:szCs w:val="34"/>
          <w:rtl/>
          <w:lang w:bidi="ar-BH"/>
        </w:rPr>
        <w:t>مشايخ الإجازة في سند هذه الكتب ذكرٌ شرفيٌّ باعتبارهم واسطةً إلى الكتاب المقروء</w:t>
      </w:r>
      <w:r w:rsidRPr="00F83FCA">
        <w:rPr>
          <w:rFonts w:ascii="mylotus" w:hAnsi="mylotus"/>
          <w:sz w:val="34"/>
          <w:szCs w:val="34"/>
          <w:rtl/>
        </w:rPr>
        <w:t>.</w:t>
      </w:r>
    </w:p>
    <w:p w14:paraId="193B16B0" w14:textId="36B71EE2" w:rsidR="00F83FCA" w:rsidRPr="00F83FCA" w:rsidRDefault="00F83FCA" w:rsidP="00F83FCA">
      <w:pPr>
        <w:pStyle w:val="a0"/>
        <w:bidi/>
        <w:rPr>
          <w:rFonts w:ascii="mylotus" w:hAnsi="mylotus"/>
          <w:sz w:val="34"/>
          <w:szCs w:val="34"/>
          <w:rtl/>
        </w:rPr>
      </w:pPr>
      <w:r w:rsidRPr="0023198C">
        <w:rPr>
          <w:rFonts w:ascii="mylotus" w:hAnsi="mylotus"/>
          <w:b/>
          <w:bCs/>
          <w:sz w:val="34"/>
          <w:szCs w:val="34"/>
          <w:rtl/>
          <w:lang w:bidi="ar-BH"/>
        </w:rPr>
        <w:t>الجهة الثانية:</w:t>
      </w:r>
      <w:r w:rsidRPr="00F83FCA">
        <w:rPr>
          <w:rFonts w:ascii="mylotus" w:hAnsi="mylotus"/>
          <w:sz w:val="34"/>
          <w:szCs w:val="34"/>
          <w:rtl/>
          <w:lang w:bidi="ar-BH"/>
        </w:rPr>
        <w:t xml:space="preserve"> بما أن مقتضى أصالة الاحتراز أنّ لعنوان الشريك موضوعيّةً، مع استبعاد انصراف الرواية لفرض كون الطعام تحت سلطنتهما لمنافاته لظاهر قوله في السؤال</w:t>
      </w:r>
      <w:r w:rsidRPr="00F83FCA">
        <w:rPr>
          <w:rFonts w:ascii="mylotus" w:hAnsi="mylotus"/>
          <w:sz w:val="34"/>
          <w:szCs w:val="34"/>
          <w:rtl/>
        </w:rPr>
        <w:t>:</w:t>
      </w:r>
      <w:r w:rsidRPr="00F83FCA">
        <w:rPr>
          <w:rFonts w:ascii="mylotus" w:hAnsi="mylotus"/>
          <w:sz w:val="34"/>
          <w:szCs w:val="34"/>
          <w:rtl/>
          <w:lang w:bidi="ar-BH"/>
        </w:rPr>
        <w:t xml:space="preserve"> </w:t>
      </w:r>
      <w:r w:rsidRPr="00F83FCA">
        <w:rPr>
          <w:rFonts w:ascii="mylotus" w:hAnsi="mylotus"/>
          <w:sz w:val="34"/>
          <w:szCs w:val="34"/>
          <w:rtl/>
        </w:rPr>
        <w:t>"</w:t>
      </w:r>
      <w:r w:rsidRPr="00F83FCA">
        <w:rPr>
          <w:rFonts w:ascii="mylotus" w:hAnsi="mylotus"/>
          <w:sz w:val="34"/>
          <w:szCs w:val="34"/>
          <w:rtl/>
          <w:lang w:bidi="ar-BH"/>
        </w:rPr>
        <w:t>ولم يقبضها</w:t>
      </w:r>
      <w:r w:rsidRPr="00F83FCA">
        <w:rPr>
          <w:rFonts w:ascii="mylotus" w:hAnsi="mylotus"/>
          <w:sz w:val="34"/>
          <w:szCs w:val="34"/>
          <w:rtl/>
        </w:rPr>
        <w:t>"</w:t>
      </w:r>
      <w:r w:rsidRPr="00F83FCA">
        <w:rPr>
          <w:rFonts w:ascii="mylotus" w:hAnsi="mylotus"/>
          <w:sz w:val="34"/>
          <w:szCs w:val="34"/>
          <w:rtl/>
          <w:lang w:bidi="ar-BH"/>
        </w:rPr>
        <w:t>. لكن ذلك لا</w:t>
      </w:r>
      <w:r w:rsidRPr="00F83FCA">
        <w:rPr>
          <w:rFonts w:ascii="mylotus" w:hAnsi="mylotus"/>
          <w:sz w:val="34"/>
          <w:szCs w:val="34"/>
          <w:rtl/>
        </w:rPr>
        <w:t xml:space="preserve"> </w:t>
      </w:r>
      <w:r w:rsidRPr="00F83FCA">
        <w:rPr>
          <w:rFonts w:ascii="mylotus" w:hAnsi="mylotus"/>
          <w:sz w:val="34"/>
          <w:szCs w:val="34"/>
          <w:rtl/>
          <w:lang w:bidi="ar-BH"/>
        </w:rPr>
        <w:lastRenderedPageBreak/>
        <w:t>يفضي للتعارض</w:t>
      </w:r>
      <w:r w:rsidRPr="00F83FCA">
        <w:rPr>
          <w:rFonts w:ascii="mylotus" w:hAnsi="mylotus"/>
          <w:sz w:val="34"/>
          <w:szCs w:val="34"/>
          <w:rtl/>
        </w:rPr>
        <w:t>؛ و</w:t>
      </w:r>
      <w:r w:rsidRPr="00F83FCA">
        <w:rPr>
          <w:rFonts w:ascii="mylotus" w:hAnsi="mylotus"/>
          <w:sz w:val="34"/>
          <w:szCs w:val="34"/>
          <w:rtl/>
          <w:lang w:bidi="ar-BH"/>
        </w:rPr>
        <w:t>ذلك أنّ مناط المعارضة هو ما إذا استلزم تقديم كلٍّ من الروايتين على الأخرى إلغاءُ العنوان أو الخصوصيّة المأخوذة في الرواية الأخرى، وهذا مما</w:t>
      </w:r>
      <w:r w:rsidRPr="00F83FCA">
        <w:rPr>
          <w:rFonts w:ascii="mylotus" w:hAnsi="mylotus"/>
          <w:sz w:val="34"/>
          <w:szCs w:val="34"/>
          <w:rtl/>
        </w:rPr>
        <w:t xml:space="preserve"> </w:t>
      </w:r>
      <w:r w:rsidRPr="00F83FCA">
        <w:rPr>
          <w:rFonts w:ascii="mylotus" w:hAnsi="mylotus"/>
          <w:sz w:val="34"/>
          <w:szCs w:val="34"/>
          <w:rtl/>
          <w:lang w:bidi="ar-BH"/>
        </w:rPr>
        <w:t xml:space="preserve">لا ينطبق على المقام؛ فإنّ مقتضى ذلك تقديم معتبرة سماعة على معتبرة عليّ بن جعفر دون العكس؛ فإنّه إذا قدّم التفصيل المأخوذ في معتبرة عليّ بن جعفر </w:t>
      </w:r>
      <w:r w:rsidRPr="00F83FCA">
        <w:rPr>
          <w:rFonts w:ascii="mylotus" w:hAnsi="mylotus"/>
          <w:sz w:val="34"/>
          <w:szCs w:val="34"/>
          <w:rtl/>
        </w:rPr>
        <w:t>-</w:t>
      </w:r>
      <w:r w:rsidRPr="00F83FCA">
        <w:rPr>
          <w:rFonts w:ascii="mylotus" w:hAnsi="mylotus"/>
          <w:sz w:val="34"/>
          <w:szCs w:val="34"/>
          <w:rtl/>
          <w:lang w:bidi="ar-BH"/>
        </w:rPr>
        <w:t>وهو التفصيل بين المرابحة والتولية</w:t>
      </w:r>
      <w:r w:rsidRPr="00F83FCA">
        <w:rPr>
          <w:rFonts w:ascii="mylotus" w:hAnsi="mylotus"/>
          <w:sz w:val="34"/>
          <w:szCs w:val="34"/>
          <w:rtl/>
        </w:rPr>
        <w:t>-</w:t>
      </w:r>
      <w:r w:rsidRPr="00F83FCA">
        <w:rPr>
          <w:rFonts w:ascii="mylotus" w:hAnsi="mylotus"/>
          <w:sz w:val="34"/>
          <w:szCs w:val="34"/>
          <w:rtl/>
          <w:lang w:bidi="ar-BH"/>
        </w:rPr>
        <w:t xml:space="preserve"> لزم لغوية عنوان الشريك، بينما تقديم معتبرة سماعة على معتبرة عليّ بن جعفر لا يلزم منه إلغاء التفصيل فيها؛ وإنما غايته التخصيص لا أكثر،</w:t>
      </w:r>
      <w:r w:rsidRPr="00F83FCA">
        <w:rPr>
          <w:rFonts w:ascii="mylotus" w:hAnsi="mylotus"/>
          <w:sz w:val="34"/>
          <w:szCs w:val="34"/>
          <w:rtl/>
        </w:rPr>
        <w:t xml:space="preserve"> </w:t>
      </w:r>
      <w:r w:rsidR="0085371D">
        <w:rPr>
          <w:rFonts w:ascii="mylotus" w:hAnsi="mylotus"/>
          <w:sz w:val="34"/>
          <w:szCs w:val="34"/>
          <w:rtl/>
          <w:lang w:bidi="ar-BH"/>
        </w:rPr>
        <w:t>وتكون بذلك</w:t>
      </w:r>
      <w:bookmarkStart w:id="0" w:name="_GoBack"/>
      <w:bookmarkEnd w:id="0"/>
      <w:r w:rsidRPr="00F83FCA">
        <w:rPr>
          <w:rFonts w:ascii="mylotus" w:hAnsi="mylotus"/>
          <w:sz w:val="34"/>
          <w:szCs w:val="34"/>
          <w:rtl/>
          <w:lang w:bidi="ar-BH"/>
        </w:rPr>
        <w:t xml:space="preserve"> معتبرة سماعة بمثابة المقيد لمعتبرة علي بن جعفر، وتقييد المطلق من أنحاء الجمع العرفي، والنتيجة هي التفصيل في بيع الطعام مرابحة بين الشريك وغيره.</w:t>
      </w:r>
    </w:p>
    <w:p w14:paraId="0AE21D7B" w14:textId="77777777" w:rsidR="00F83FCA" w:rsidRPr="00F83FCA" w:rsidRDefault="00F83FCA" w:rsidP="00F83FCA">
      <w:pPr>
        <w:pStyle w:val="a0"/>
        <w:bidi/>
        <w:rPr>
          <w:rFonts w:ascii="mylotus" w:hAnsi="mylotus"/>
          <w:sz w:val="34"/>
          <w:szCs w:val="34"/>
          <w:rtl/>
        </w:rPr>
      </w:pPr>
      <w:r w:rsidRPr="0023198C">
        <w:rPr>
          <w:rFonts w:ascii="mylotus" w:hAnsi="mylotus"/>
          <w:b/>
          <w:bCs/>
          <w:sz w:val="34"/>
          <w:szCs w:val="34"/>
          <w:rtl/>
          <w:lang w:bidi="ar-BH"/>
        </w:rPr>
        <w:t>الجهة الثالثة:</w:t>
      </w:r>
      <w:r w:rsidRPr="00F83FCA">
        <w:rPr>
          <w:rFonts w:ascii="mylotus" w:hAnsi="mylotus"/>
          <w:sz w:val="34"/>
          <w:szCs w:val="34"/>
          <w:rtl/>
          <w:lang w:bidi="ar-BH"/>
        </w:rPr>
        <w:t xml:space="preserve"> </w:t>
      </w:r>
      <w:r w:rsidRPr="00F83FCA">
        <w:rPr>
          <w:rFonts w:ascii="mylotus" w:hAnsi="mylotus"/>
          <w:sz w:val="34"/>
          <w:szCs w:val="34"/>
          <w:rtl/>
        </w:rPr>
        <w:t>ما قد يقال -</w:t>
      </w:r>
      <w:r w:rsidRPr="00F83FCA">
        <w:rPr>
          <w:rFonts w:ascii="mylotus" w:hAnsi="mylotus"/>
          <w:sz w:val="34"/>
          <w:szCs w:val="34"/>
          <w:rtl/>
          <w:lang w:bidi="ar-BH"/>
        </w:rPr>
        <w:t>على فرض استهجان التقييد عرفا</w:t>
      </w:r>
      <w:r w:rsidRPr="00F83FCA">
        <w:rPr>
          <w:rFonts w:ascii="mylotus" w:hAnsi="mylotus"/>
          <w:sz w:val="34"/>
          <w:szCs w:val="34"/>
          <w:rtl/>
        </w:rPr>
        <w:t>-</w:t>
      </w:r>
      <w:r w:rsidRPr="00F83FCA">
        <w:rPr>
          <w:rFonts w:ascii="mylotus" w:hAnsi="mylotus"/>
          <w:sz w:val="34"/>
          <w:szCs w:val="34"/>
          <w:rtl/>
          <w:lang w:bidi="ar-BH"/>
        </w:rPr>
        <w:t xml:space="preserve">: إن المقام نظير الجمع بين السببين في فرض تعدّد الشرط واتّحاد الجزاء، حيث جُمع عرفًا بين الشرطيتين المتّحدتين جزاءً بنحو تعدّد العلل، وذلك برفع اليد عن الإطلاق الأويّ في كلٍّ من الشرطيتين. </w:t>
      </w:r>
    </w:p>
    <w:p w14:paraId="1F91AC5C" w14:textId="77777777" w:rsidR="00F83FCA" w:rsidRPr="00F83FCA" w:rsidRDefault="00F83FCA" w:rsidP="00F83FCA">
      <w:pPr>
        <w:pStyle w:val="a0"/>
        <w:bidi/>
        <w:rPr>
          <w:rFonts w:ascii="mylotus" w:hAnsi="mylotus"/>
          <w:sz w:val="34"/>
          <w:szCs w:val="34"/>
          <w:rtl/>
        </w:rPr>
      </w:pPr>
      <w:r w:rsidRPr="00F83FCA">
        <w:rPr>
          <w:rFonts w:ascii="mylotus" w:hAnsi="mylotus"/>
          <w:sz w:val="34"/>
          <w:szCs w:val="34"/>
          <w:rtl/>
          <w:lang w:bidi="ar-BH"/>
        </w:rPr>
        <w:t>فمثلاً إذا ورد: "إذا خفي الأذان فقصّر"، وورد: "إذا غابت الجدران فقصّر"، وفرض أنّ بين المفادين عمومًا من وجه، فيقال لو خُلّينا والإطلاق الأويّ لكان مقتضى الإطلاق في كل من الشرطيتين التعارض؛ لأن مقتضى الإطلاق في كل من الشرطيتين أن كلا منهما علة منحصرة للجزاء، فيكون منطوق كل منهما معارضًا لمفهوم الجملة الشرطية الأخرى، فيستقر التعارض، ولكنّ العرف يرى إمكانية الجمع العرفيّ بينهما برفع اليد عن الإطلاق الأويّ في كل منهما وتكون النتيجة أنّ كلّاً من الشرطيتين علّةٌ تامّةٌ للجزاء. كذلك في محلّ الكلام، فإنّ مقتضى عرض هاتين المعتبرتين على النظر العرفيّ أن يقال: لو خلينا والاطلاق في كل منهما لكان مقتضى ذلك التعارض، ولكن يمكن رفع اليد عن الإطلاق في كل منهما وتكون النتيجة أن كلا منهما مناطٌ للجواز، فكما أنّ عنوان الشريك مناطٌ لجواز البيع قبل القبض مرابحةً أو توليةً، فكذلك عنوان التولية مناطٌ لجواز البيع قبل القبض في غير الشريك، فكلٌّ منهما -</w:t>
      </w:r>
      <w:r w:rsidRPr="00F83FCA">
        <w:rPr>
          <w:rFonts w:ascii="mylotus" w:hAnsi="mylotus"/>
          <w:sz w:val="34"/>
          <w:szCs w:val="34"/>
          <w:rtl/>
        </w:rPr>
        <w:t xml:space="preserve">أي </w:t>
      </w:r>
      <w:r w:rsidRPr="00F83FCA">
        <w:rPr>
          <w:rFonts w:ascii="mylotus" w:hAnsi="mylotus"/>
          <w:sz w:val="34"/>
          <w:szCs w:val="34"/>
          <w:rtl/>
          <w:lang w:bidi="ar-BH"/>
        </w:rPr>
        <w:t>عنوان الشريك وعنوان التولية- علّةٌ تامّةٌ -وإن لم تكن منحصرة- لجواز البيع قبل القبض.</w:t>
      </w:r>
    </w:p>
    <w:p w14:paraId="328E1380" w14:textId="77777777" w:rsidR="00F83FCA" w:rsidRPr="00F83FCA" w:rsidRDefault="00F83FCA" w:rsidP="00F83FCA">
      <w:pPr>
        <w:pStyle w:val="a0"/>
        <w:bidi/>
        <w:rPr>
          <w:rFonts w:ascii="mylotus" w:hAnsi="mylotus"/>
          <w:sz w:val="34"/>
          <w:szCs w:val="34"/>
          <w:rtl/>
        </w:rPr>
      </w:pPr>
      <w:r w:rsidRPr="00F83FCA">
        <w:rPr>
          <w:rFonts w:ascii="mylotus" w:hAnsi="mylotus"/>
          <w:sz w:val="34"/>
          <w:szCs w:val="34"/>
          <w:rtl/>
          <w:lang w:bidi="ar-BH"/>
        </w:rPr>
        <w:t xml:space="preserve">إلا أن يقال: إنّ لسان الحصر يختلف عرفًا عن لسان الشرطيّة، فالجمع العرفيّ بنحو تعدّد العلل </w:t>
      </w:r>
      <w:r w:rsidRPr="00F83FCA">
        <w:rPr>
          <w:rFonts w:ascii="mylotus" w:hAnsi="mylotus"/>
          <w:sz w:val="34"/>
          <w:szCs w:val="34"/>
          <w:rtl/>
        </w:rPr>
        <w:t>-</w:t>
      </w:r>
      <w:r w:rsidRPr="00F83FCA">
        <w:rPr>
          <w:rFonts w:ascii="mylotus" w:hAnsi="mylotus"/>
          <w:sz w:val="34"/>
          <w:szCs w:val="34"/>
          <w:rtl/>
          <w:lang w:bidi="ar-BH"/>
        </w:rPr>
        <w:t xml:space="preserve">من خلال رفع اليد عن الإطلاق الأويّ- عرفيٌّ في الجملة الشرطيّة، ولكنّه ليس عرفيًّا في لسان الحصر. والوارد في معتبرة عليّ بن جعفر وإن كان قابلاً للتقييد بالشريك، حيث قال: "فإن ربح فلا </w:t>
      </w:r>
      <w:r w:rsidRPr="00F83FCA">
        <w:rPr>
          <w:rFonts w:ascii="mylotus" w:hAnsi="mylotus"/>
          <w:sz w:val="34"/>
          <w:szCs w:val="34"/>
          <w:rtl/>
          <w:lang w:bidi="ar-BH"/>
        </w:rPr>
        <w:lastRenderedPageBreak/>
        <w:t>بيع حتّى يقبضه"، لكنّ الوارد في موثّقة سماعة هو لسان الحصر: "لا، حتّى يقبضها، إلّا أن يكون معه قوم يشاركون..."، ولسان الحصر لا يقبل رفع اليد عنه بتقييده بغير فرض التولية، فتأمّل.</w:t>
      </w:r>
    </w:p>
    <w:p w14:paraId="0F8ED352" w14:textId="77777777" w:rsidR="00F83FCA" w:rsidRPr="00253023" w:rsidRDefault="00F83FCA" w:rsidP="00F83FCA">
      <w:pPr>
        <w:pStyle w:val="a0"/>
        <w:bidi/>
        <w:rPr>
          <w:rFonts w:ascii="mylotus" w:hAnsi="mylotus"/>
          <w:b/>
          <w:bCs/>
          <w:sz w:val="34"/>
          <w:szCs w:val="34"/>
          <w:rtl/>
        </w:rPr>
      </w:pPr>
      <w:r w:rsidRPr="00253023">
        <w:rPr>
          <w:rFonts w:ascii="mylotus" w:hAnsi="mylotus"/>
          <w:b/>
          <w:bCs/>
          <w:sz w:val="34"/>
          <w:szCs w:val="34"/>
          <w:rtl/>
          <w:lang w:bidi="ar-BH"/>
        </w:rPr>
        <w:t>الجهة الرابعة: في شمول التعارض لغير الطعام</w:t>
      </w:r>
    </w:p>
    <w:p w14:paraId="0E4948CB" w14:textId="77777777" w:rsidR="00253023" w:rsidRDefault="00F83FCA" w:rsidP="00253023">
      <w:pPr>
        <w:pStyle w:val="a0"/>
        <w:bidi/>
        <w:rPr>
          <w:rFonts w:ascii="mylotus" w:hAnsi="mylotus"/>
          <w:sz w:val="34"/>
          <w:szCs w:val="34"/>
          <w:rtl/>
          <w:lang w:bidi="ar-BH"/>
        </w:rPr>
      </w:pPr>
      <w:r w:rsidRPr="00F83FCA">
        <w:rPr>
          <w:rFonts w:ascii="mylotus" w:hAnsi="mylotus"/>
          <w:sz w:val="34"/>
          <w:szCs w:val="34"/>
          <w:rtl/>
          <w:lang w:bidi="ar-BH"/>
        </w:rPr>
        <w:t>على فرض استقرار التعارض بين الموث</w:t>
      </w:r>
      <w:r w:rsidRPr="00F83FCA">
        <w:rPr>
          <w:rFonts w:ascii="mylotus" w:hAnsi="mylotus"/>
          <w:sz w:val="34"/>
          <w:szCs w:val="34"/>
          <w:rtl/>
        </w:rPr>
        <w:t>ق</w:t>
      </w:r>
      <w:r w:rsidRPr="00F83FCA">
        <w:rPr>
          <w:rFonts w:ascii="mylotus" w:hAnsi="mylotus"/>
          <w:sz w:val="34"/>
          <w:szCs w:val="34"/>
          <w:rtl/>
          <w:lang w:bidi="ar-BH"/>
        </w:rPr>
        <w:t xml:space="preserve">ة والمعتبرة فقد يستوحى من عبارة السيد القمي </w:t>
      </w:r>
      <w:r w:rsidRPr="00F83FCA">
        <w:rPr>
          <w:rFonts w:ascii="mylotus" w:hAnsi="mylotus"/>
          <w:sz w:val="34"/>
          <w:szCs w:val="34"/>
          <w:rtl/>
        </w:rPr>
        <w:t>(</w:t>
      </w:r>
      <w:r w:rsidRPr="00F83FCA">
        <w:rPr>
          <w:rFonts w:ascii="mylotus" w:hAnsi="mylotus"/>
          <w:sz w:val="34"/>
          <w:szCs w:val="34"/>
          <w:rtl/>
          <w:lang w:bidi="ar-BH"/>
        </w:rPr>
        <w:t>قد</w:t>
      </w:r>
      <w:r w:rsidRPr="00F83FCA">
        <w:rPr>
          <w:rFonts w:ascii="mylotus" w:hAnsi="mylotus"/>
          <w:sz w:val="34"/>
          <w:szCs w:val="34"/>
          <w:rtl/>
        </w:rPr>
        <w:t>س سر</w:t>
      </w:r>
      <w:r w:rsidRPr="00F83FCA">
        <w:rPr>
          <w:rFonts w:ascii="mylotus" w:hAnsi="mylotus"/>
          <w:sz w:val="34"/>
          <w:szCs w:val="34"/>
          <w:rtl/>
          <w:lang w:bidi="ar-BH"/>
        </w:rPr>
        <w:t>ه</w:t>
      </w:r>
      <w:r w:rsidRPr="00F83FCA">
        <w:rPr>
          <w:rFonts w:ascii="mylotus" w:hAnsi="mylotus"/>
          <w:sz w:val="34"/>
          <w:szCs w:val="34"/>
          <w:rtl/>
        </w:rPr>
        <w:t>)</w:t>
      </w:r>
      <w:r w:rsidRPr="00F83FCA">
        <w:rPr>
          <w:rFonts w:ascii="mylotus" w:hAnsi="mylotus"/>
          <w:sz w:val="34"/>
          <w:szCs w:val="34"/>
          <w:rtl/>
          <w:lang w:bidi="ar-BH"/>
        </w:rPr>
        <w:t>: أنّ التعارض يختصّ بمورد الروايتين وهو الطعام، وما ورد في مطلق المكيل والموزون يبقى سالمًا عن المعارضة. ولكن الظاهر دخول ما دلّ على جواز بيع المكيل والموزون توليةً لغير الشريك في المعارضة، وهو ما</w:t>
      </w:r>
      <w:r w:rsidRPr="00F83FCA">
        <w:rPr>
          <w:rFonts w:ascii="mylotus" w:hAnsi="mylotus"/>
          <w:sz w:val="34"/>
          <w:szCs w:val="34"/>
          <w:rtl/>
        </w:rPr>
        <w:t xml:space="preserve"> </w:t>
      </w:r>
      <w:r w:rsidRPr="00F83FCA">
        <w:rPr>
          <w:rFonts w:ascii="mylotus" w:hAnsi="mylotus"/>
          <w:sz w:val="34"/>
          <w:szCs w:val="34"/>
          <w:rtl/>
          <w:lang w:bidi="ar-BH"/>
        </w:rPr>
        <w:t>رواه الصدوق في الفقيه</w:t>
      </w:r>
      <w:r w:rsidRPr="00F83FCA">
        <w:rPr>
          <w:rFonts w:ascii="mylotus" w:hAnsi="mylotus"/>
          <w:sz w:val="34"/>
          <w:szCs w:val="34"/>
          <w:vertAlign w:val="superscript"/>
          <w:rtl/>
          <w:lang w:bidi="ar-BH"/>
        </w:rPr>
        <w:t>(</w:t>
      </w:r>
      <w:r w:rsidRPr="00F83FCA">
        <w:rPr>
          <w:rStyle w:val="ac"/>
          <w:rFonts w:ascii="mylotus" w:hAnsi="mylotus"/>
          <w:sz w:val="34"/>
          <w:szCs w:val="34"/>
          <w:rtl/>
        </w:rPr>
        <w:footnoteReference w:id="3"/>
      </w:r>
      <w:r w:rsidRPr="00F83FCA">
        <w:rPr>
          <w:rFonts w:ascii="mylotus" w:hAnsi="mylotus"/>
          <w:sz w:val="34"/>
          <w:szCs w:val="34"/>
          <w:vertAlign w:val="superscript"/>
          <w:rtl/>
          <w:lang w:bidi="ar-BH"/>
        </w:rPr>
        <w:t>)</w:t>
      </w:r>
      <w:r w:rsidRPr="00F83FCA">
        <w:rPr>
          <w:rFonts w:ascii="mylotus" w:hAnsi="mylotus"/>
          <w:sz w:val="34"/>
          <w:szCs w:val="34"/>
          <w:rtl/>
          <w:lang w:bidi="ar-BH"/>
        </w:rPr>
        <w:t xml:space="preserve"> والشيخ في التهذيب</w:t>
      </w:r>
      <w:r w:rsidRPr="00F83FCA">
        <w:rPr>
          <w:rFonts w:ascii="mylotus" w:hAnsi="mylotus"/>
          <w:sz w:val="34"/>
          <w:szCs w:val="34"/>
          <w:vertAlign w:val="superscript"/>
          <w:rtl/>
          <w:lang w:bidi="ar-BH"/>
        </w:rPr>
        <w:t>(</w:t>
      </w:r>
      <w:r w:rsidRPr="00F83FCA">
        <w:rPr>
          <w:rStyle w:val="ac"/>
          <w:rFonts w:ascii="mylotus" w:hAnsi="mylotus"/>
          <w:sz w:val="34"/>
          <w:szCs w:val="34"/>
          <w:rtl/>
        </w:rPr>
        <w:footnoteReference w:id="4"/>
      </w:r>
      <w:r w:rsidRPr="00F83FCA">
        <w:rPr>
          <w:rFonts w:ascii="mylotus" w:hAnsi="mylotus"/>
          <w:sz w:val="34"/>
          <w:szCs w:val="34"/>
          <w:vertAlign w:val="superscript"/>
          <w:rtl/>
          <w:lang w:bidi="ar-BH"/>
        </w:rPr>
        <w:t>)</w:t>
      </w:r>
      <w:r w:rsidRPr="00F83FCA">
        <w:rPr>
          <w:rFonts w:ascii="mylotus" w:hAnsi="mylotus"/>
          <w:sz w:val="34"/>
          <w:szCs w:val="34"/>
          <w:rtl/>
          <w:lang w:bidi="ar-BH"/>
        </w:rPr>
        <w:t xml:space="preserve"> عن منصور بن حازم</w:t>
      </w:r>
      <w:r w:rsidRPr="00F83FCA">
        <w:rPr>
          <w:rFonts w:ascii="mylotus" w:hAnsi="mylotus"/>
          <w:sz w:val="34"/>
          <w:szCs w:val="34"/>
          <w:rtl/>
        </w:rPr>
        <w:t>،</w:t>
      </w:r>
      <w:r w:rsidRPr="00F83FCA">
        <w:rPr>
          <w:rFonts w:ascii="mylotus" w:hAnsi="mylotus"/>
          <w:sz w:val="34"/>
          <w:szCs w:val="34"/>
          <w:rtl/>
          <w:lang w:bidi="ar-BH"/>
        </w:rPr>
        <w:t xml:space="preserve"> وهو تام سندا</w:t>
      </w:r>
      <w:r w:rsidRPr="00F83FCA">
        <w:rPr>
          <w:rFonts w:ascii="mylotus" w:hAnsi="mylotus"/>
          <w:sz w:val="34"/>
          <w:szCs w:val="34"/>
          <w:rtl/>
        </w:rPr>
        <w:t>،</w:t>
      </w:r>
      <w:r w:rsidRPr="00F83FCA">
        <w:rPr>
          <w:rFonts w:ascii="mylotus" w:hAnsi="mylotus"/>
          <w:sz w:val="34"/>
          <w:szCs w:val="34"/>
          <w:rtl/>
          <w:lang w:bidi="ar-BH"/>
        </w:rPr>
        <w:t xml:space="preserve"> فإن طريق الشيخ في التهذيب إلى منصور بن حازم تامٌّ، كما أن طريق الصدوق تام، فقد أفاد في مشيخة الفقيه</w:t>
      </w:r>
      <w:r w:rsidRPr="00F83FCA">
        <w:rPr>
          <w:rFonts w:ascii="mylotus" w:hAnsi="mylotus"/>
          <w:sz w:val="34"/>
          <w:szCs w:val="34"/>
          <w:vertAlign w:val="superscript"/>
          <w:rtl/>
          <w:lang w:bidi="ar-BH"/>
        </w:rPr>
        <w:t>(</w:t>
      </w:r>
      <w:r w:rsidRPr="00F83FCA">
        <w:rPr>
          <w:rStyle w:val="ac"/>
          <w:rFonts w:ascii="mylotus" w:hAnsi="mylotus"/>
          <w:sz w:val="34"/>
          <w:szCs w:val="34"/>
          <w:rtl/>
        </w:rPr>
        <w:footnoteReference w:id="5"/>
      </w:r>
      <w:r w:rsidRPr="00F83FCA">
        <w:rPr>
          <w:rFonts w:ascii="mylotus" w:hAnsi="mylotus"/>
          <w:sz w:val="34"/>
          <w:szCs w:val="34"/>
          <w:vertAlign w:val="superscript"/>
          <w:rtl/>
          <w:lang w:bidi="ar-BH"/>
        </w:rPr>
        <w:t>)</w:t>
      </w:r>
      <w:r w:rsidRPr="00F83FCA">
        <w:rPr>
          <w:rFonts w:ascii="mylotus" w:hAnsi="mylotus"/>
          <w:sz w:val="34"/>
          <w:szCs w:val="34"/>
          <w:rtl/>
          <w:lang w:bidi="ar-BH"/>
        </w:rPr>
        <w:t xml:space="preserve">: "وما كان فيه عن منصور بن حازم فقد رويته عن محمد بن علي </w:t>
      </w:r>
      <w:proofErr w:type="spellStart"/>
      <w:r w:rsidRPr="00F83FCA">
        <w:rPr>
          <w:rFonts w:ascii="mylotus" w:hAnsi="mylotus"/>
          <w:sz w:val="34"/>
          <w:szCs w:val="34"/>
          <w:rtl/>
          <w:lang w:bidi="ar-BH"/>
        </w:rPr>
        <w:t>ماجلويه</w:t>
      </w:r>
      <w:proofErr w:type="spellEnd"/>
      <w:r w:rsidRPr="00F83FCA">
        <w:rPr>
          <w:rFonts w:ascii="mylotus" w:hAnsi="mylotus"/>
          <w:sz w:val="34"/>
          <w:szCs w:val="34"/>
          <w:rtl/>
          <w:lang w:bidi="ar-BH"/>
        </w:rPr>
        <w:t>، عن محمد بن يحيى العطار، عن محمد بن أحمد، عن محمد بن عبدالحميد، عن سيف بن عميرة، عن منصور بن حازم الأسدي الكوفي"، وجميع من في السند يمكن تخريج وثاقته</w:t>
      </w:r>
      <w:r w:rsidRPr="00F83FCA">
        <w:rPr>
          <w:rFonts w:ascii="mylotus" w:hAnsi="mylotus"/>
          <w:sz w:val="34"/>
          <w:szCs w:val="34"/>
          <w:rtl/>
        </w:rPr>
        <w:t>،</w:t>
      </w:r>
      <w:r w:rsidRPr="00F83FCA">
        <w:rPr>
          <w:rFonts w:ascii="mylotus" w:hAnsi="mylotus"/>
          <w:sz w:val="34"/>
          <w:szCs w:val="34"/>
          <w:rtl/>
          <w:lang w:bidi="ar-BH"/>
        </w:rPr>
        <w:t xml:space="preserve"> أما محمد بن علي </w:t>
      </w:r>
      <w:proofErr w:type="spellStart"/>
      <w:r w:rsidRPr="00F83FCA">
        <w:rPr>
          <w:rFonts w:ascii="mylotus" w:hAnsi="mylotus"/>
          <w:sz w:val="34"/>
          <w:szCs w:val="34"/>
          <w:rtl/>
          <w:lang w:bidi="ar-BH"/>
        </w:rPr>
        <w:t>ماجلويه</w:t>
      </w:r>
      <w:proofErr w:type="spellEnd"/>
      <w:r w:rsidRPr="00F83FCA">
        <w:rPr>
          <w:rFonts w:ascii="mylotus" w:hAnsi="mylotus"/>
          <w:sz w:val="34"/>
          <w:szCs w:val="34"/>
          <w:rtl/>
          <w:lang w:bidi="ar-BH"/>
        </w:rPr>
        <w:t xml:space="preserve"> فقد ترحم عليه الشيخ الصدوق وترضى مرارًا، والترضي عندنا شاهد على علو المقام فضلا عن الوثاقة</w:t>
      </w:r>
      <w:r w:rsidRPr="00F83FCA">
        <w:rPr>
          <w:rFonts w:ascii="mylotus" w:hAnsi="mylotus"/>
          <w:sz w:val="34"/>
          <w:szCs w:val="34"/>
          <w:rtl/>
        </w:rPr>
        <w:t>.</w:t>
      </w:r>
      <w:r w:rsidRPr="00F83FCA">
        <w:rPr>
          <w:rFonts w:ascii="mylotus" w:hAnsi="mylotus"/>
          <w:sz w:val="34"/>
          <w:szCs w:val="34"/>
          <w:rtl/>
          <w:lang w:bidi="ar-BH"/>
        </w:rPr>
        <w:t xml:space="preserve"> وأما محمد بن أحمد بن يحيى فهو ثقة، وكذا البقية. وأما محمّد بن عبد الحميد، فقد قال النجاشيّ فيه: "محمّد بن عبد الحميد بن سالم العطّار أبو جعفر..</w:t>
      </w:r>
      <w:r w:rsidRPr="00F83FCA">
        <w:rPr>
          <w:rFonts w:ascii="mylotus" w:hAnsi="mylotus"/>
          <w:sz w:val="34"/>
          <w:szCs w:val="34"/>
          <w:rtl/>
        </w:rPr>
        <w:t>.</w:t>
      </w:r>
      <w:r w:rsidRPr="00F83FCA">
        <w:rPr>
          <w:rFonts w:ascii="mylotus" w:hAnsi="mylotus"/>
          <w:sz w:val="34"/>
          <w:szCs w:val="34"/>
          <w:rtl/>
          <w:lang w:bidi="ar-BH"/>
        </w:rPr>
        <w:t xml:space="preserve"> روى عبد الحميد (الأب) عن أبي الحسن موسى (عليه السلام) وكان ثقةً من أصحابنا الكوفيّين له كتاب النوادر"</w:t>
      </w:r>
      <w:r w:rsidRPr="00F83FCA">
        <w:rPr>
          <w:rFonts w:ascii="mylotus" w:hAnsi="mylotus"/>
          <w:sz w:val="34"/>
          <w:szCs w:val="34"/>
          <w:vertAlign w:val="superscript"/>
          <w:rtl/>
        </w:rPr>
        <w:t>(</w:t>
      </w:r>
      <w:r w:rsidRPr="00F83FCA">
        <w:rPr>
          <w:rStyle w:val="ac"/>
          <w:rFonts w:ascii="mylotus" w:hAnsi="mylotus"/>
          <w:sz w:val="34"/>
          <w:szCs w:val="34"/>
          <w:rtl/>
        </w:rPr>
        <w:footnoteReference w:id="6"/>
      </w:r>
      <w:r w:rsidRPr="00F83FCA">
        <w:rPr>
          <w:rFonts w:ascii="mylotus" w:hAnsi="mylotus"/>
          <w:sz w:val="34"/>
          <w:szCs w:val="34"/>
          <w:vertAlign w:val="superscript"/>
          <w:rtl/>
        </w:rPr>
        <w:t>)</w:t>
      </w:r>
      <w:r w:rsidRPr="00F83FCA">
        <w:rPr>
          <w:rFonts w:ascii="mylotus" w:hAnsi="mylotus"/>
          <w:sz w:val="34"/>
          <w:szCs w:val="34"/>
          <w:rtl/>
          <w:lang w:bidi="ar-BH"/>
        </w:rPr>
        <w:t xml:space="preserve">، وقد أرجع سيدنا الخوئيّ </w:t>
      </w:r>
      <w:r w:rsidRPr="00F83FCA">
        <w:rPr>
          <w:rFonts w:ascii="mylotus" w:hAnsi="mylotus"/>
          <w:sz w:val="34"/>
          <w:szCs w:val="34"/>
          <w:rtl/>
        </w:rPr>
        <w:t>(</w:t>
      </w:r>
      <w:r w:rsidRPr="00F83FCA">
        <w:rPr>
          <w:rFonts w:ascii="mylotus" w:hAnsi="mylotus"/>
          <w:sz w:val="34"/>
          <w:szCs w:val="34"/>
          <w:rtl/>
          <w:lang w:bidi="ar-BH"/>
        </w:rPr>
        <w:t>قد</w:t>
      </w:r>
      <w:r w:rsidRPr="00F83FCA">
        <w:rPr>
          <w:rFonts w:ascii="mylotus" w:hAnsi="mylotus"/>
          <w:sz w:val="34"/>
          <w:szCs w:val="34"/>
          <w:rtl/>
        </w:rPr>
        <w:t>س سر</w:t>
      </w:r>
      <w:r w:rsidRPr="00F83FCA">
        <w:rPr>
          <w:rFonts w:ascii="mylotus" w:hAnsi="mylotus"/>
          <w:sz w:val="34"/>
          <w:szCs w:val="34"/>
          <w:rtl/>
          <w:lang w:bidi="ar-BH"/>
        </w:rPr>
        <w:t>ه</w:t>
      </w:r>
      <w:r w:rsidRPr="00F83FCA">
        <w:rPr>
          <w:rFonts w:ascii="mylotus" w:hAnsi="mylotus"/>
          <w:sz w:val="34"/>
          <w:szCs w:val="34"/>
          <w:rtl/>
        </w:rPr>
        <w:t xml:space="preserve">) </w:t>
      </w:r>
      <w:r w:rsidRPr="00F83FCA">
        <w:rPr>
          <w:rFonts w:ascii="mylotus" w:hAnsi="mylotus"/>
          <w:sz w:val="34"/>
          <w:szCs w:val="34"/>
          <w:rtl/>
          <w:lang w:bidi="ar-BH"/>
        </w:rPr>
        <w:t>الضمير في</w:t>
      </w:r>
      <w:r w:rsidRPr="00F83FCA">
        <w:rPr>
          <w:rFonts w:ascii="mylotus" w:hAnsi="mylotus"/>
          <w:sz w:val="34"/>
          <w:szCs w:val="34"/>
          <w:rtl/>
        </w:rPr>
        <w:t xml:space="preserve"> قوله: "</w:t>
      </w:r>
      <w:r w:rsidRPr="00F83FCA">
        <w:rPr>
          <w:rFonts w:ascii="mylotus" w:hAnsi="mylotus"/>
          <w:sz w:val="34"/>
          <w:szCs w:val="34"/>
          <w:rtl/>
          <w:lang w:bidi="ar-BH"/>
        </w:rPr>
        <w:t>وكان ثقة</w:t>
      </w:r>
      <w:r w:rsidRPr="00F83FCA">
        <w:rPr>
          <w:rFonts w:ascii="mylotus" w:hAnsi="mylotus"/>
          <w:sz w:val="34"/>
          <w:szCs w:val="34"/>
          <w:rtl/>
        </w:rPr>
        <w:t>"</w:t>
      </w:r>
      <w:r w:rsidRPr="00F83FCA">
        <w:rPr>
          <w:rFonts w:ascii="mylotus" w:hAnsi="mylotus"/>
          <w:sz w:val="34"/>
          <w:szCs w:val="34"/>
          <w:rtl/>
          <w:lang w:bidi="ar-BH"/>
        </w:rPr>
        <w:t xml:space="preserve"> إلى الأب، ولكن ظاهر السياق عود الضمائر إلى المترجَم له وهو محمّد، فالرواية معتبرةً بكلا الطريقين.</w:t>
      </w:r>
      <w:r w:rsidR="00253023">
        <w:rPr>
          <w:rFonts w:ascii="mylotus" w:hAnsi="mylotus" w:hint="cs"/>
          <w:sz w:val="34"/>
          <w:szCs w:val="34"/>
          <w:rtl/>
          <w:lang w:bidi="ar-BH"/>
        </w:rPr>
        <w:t xml:space="preserve"> </w:t>
      </w:r>
      <w:r w:rsidRPr="00F83FCA">
        <w:rPr>
          <w:rFonts w:ascii="mylotus" w:hAnsi="mylotus"/>
          <w:sz w:val="34"/>
          <w:szCs w:val="34"/>
          <w:rtl/>
          <w:lang w:bidi="ar-BH"/>
        </w:rPr>
        <w:t>هذا من جهة السند</w:t>
      </w:r>
      <w:r w:rsidR="00253023">
        <w:rPr>
          <w:rFonts w:ascii="mylotus" w:hAnsi="mylotus" w:hint="cs"/>
          <w:sz w:val="34"/>
          <w:szCs w:val="34"/>
          <w:rtl/>
          <w:lang w:bidi="ar-BH"/>
        </w:rPr>
        <w:t>.</w:t>
      </w:r>
    </w:p>
    <w:p w14:paraId="3DCC0013" w14:textId="2C7A4580" w:rsidR="00F83FCA" w:rsidRPr="00F83FCA" w:rsidRDefault="00F83FCA" w:rsidP="00253023">
      <w:pPr>
        <w:pStyle w:val="a0"/>
        <w:bidi/>
        <w:rPr>
          <w:rFonts w:ascii="mylotus" w:hAnsi="mylotus"/>
          <w:sz w:val="34"/>
          <w:szCs w:val="34"/>
          <w:rtl/>
        </w:rPr>
      </w:pPr>
      <w:r w:rsidRPr="00F83FCA">
        <w:rPr>
          <w:rFonts w:ascii="mylotus" w:hAnsi="mylotus"/>
          <w:sz w:val="34"/>
          <w:szCs w:val="34"/>
          <w:rtl/>
          <w:lang w:bidi="ar-BH"/>
        </w:rPr>
        <w:t>وأما من جهة الدلالة فهي واضحة في منع بيع مطلق المكيل والموزون بربح قبل قبضه</w:t>
      </w:r>
      <w:r w:rsidRPr="00F83FCA">
        <w:rPr>
          <w:rFonts w:ascii="mylotus" w:hAnsi="mylotus"/>
          <w:sz w:val="34"/>
          <w:szCs w:val="34"/>
          <w:rtl/>
        </w:rPr>
        <w:t>،</w:t>
      </w:r>
      <w:r w:rsidRPr="00F83FCA">
        <w:rPr>
          <w:rFonts w:ascii="mylotus" w:hAnsi="mylotus"/>
          <w:sz w:val="34"/>
          <w:szCs w:val="34"/>
          <w:rtl/>
          <w:lang w:bidi="ar-BH"/>
        </w:rPr>
        <w:t xml:space="preserve"> ومن أجلى مصاديقه الطعام، حيث روى منصور بن حازم عن أبي عبد الله (عليه السلام) قال: "إِذَا اِشْتَرَيْتَ مَتَاعاً فِيهِ كَيْلٌ أَوْ وَزْنٌ فَلاَ تَبِعْهُ حَتَّى تَقْبِضَهُ إِلاَّ أَنْ تُوَلِّيَهُ فَإِنْ لَمْ يَكُنْ فِيهِ كَيْلٌ وَ لاَ وَزْنٌ فَبِعْهُ</w:t>
      </w:r>
      <w:r w:rsidRPr="00F83FCA">
        <w:rPr>
          <w:rFonts w:ascii="Times New Roman" w:hAnsi="Times New Roman" w:cs="Times New Roman" w:hint="cs"/>
          <w:sz w:val="34"/>
          <w:szCs w:val="34"/>
          <w:rtl/>
          <w:lang w:bidi="ar-BH"/>
        </w:rPr>
        <w:t>‌</w:t>
      </w:r>
      <w:r w:rsidRPr="00F83FCA">
        <w:rPr>
          <w:rFonts w:ascii="mylotus" w:hAnsi="mylotus"/>
          <w:sz w:val="34"/>
          <w:szCs w:val="34"/>
          <w:rtl/>
          <w:lang w:bidi="ar-BH"/>
        </w:rPr>
        <w:t>"</w:t>
      </w:r>
      <w:r w:rsidRPr="00F83FCA">
        <w:rPr>
          <w:rFonts w:ascii="mylotus" w:hAnsi="mylotus"/>
          <w:sz w:val="34"/>
          <w:szCs w:val="34"/>
          <w:vertAlign w:val="superscript"/>
          <w:rtl/>
        </w:rPr>
        <w:t>(</w:t>
      </w:r>
      <w:r w:rsidRPr="00F83FCA">
        <w:rPr>
          <w:rStyle w:val="ac"/>
          <w:rFonts w:ascii="mylotus" w:hAnsi="mylotus"/>
          <w:sz w:val="34"/>
          <w:szCs w:val="34"/>
          <w:rtl/>
        </w:rPr>
        <w:footnoteReference w:id="7"/>
      </w:r>
      <w:r w:rsidRPr="00F83FCA">
        <w:rPr>
          <w:rFonts w:ascii="mylotus" w:hAnsi="mylotus"/>
          <w:sz w:val="34"/>
          <w:szCs w:val="34"/>
          <w:vertAlign w:val="superscript"/>
          <w:rtl/>
        </w:rPr>
        <w:t>)</w:t>
      </w:r>
      <w:r w:rsidRPr="00F83FCA">
        <w:rPr>
          <w:rFonts w:ascii="mylotus" w:hAnsi="mylotus"/>
          <w:sz w:val="34"/>
          <w:szCs w:val="34"/>
          <w:rtl/>
          <w:lang w:bidi="ar-BH"/>
        </w:rPr>
        <w:t xml:space="preserve">، ، </w:t>
      </w:r>
      <w:r w:rsidRPr="00F83FCA">
        <w:rPr>
          <w:rFonts w:ascii="mylotus" w:hAnsi="mylotus"/>
          <w:sz w:val="34"/>
          <w:szCs w:val="34"/>
          <w:rtl/>
          <w:lang w:bidi="ar-BH"/>
        </w:rPr>
        <w:lastRenderedPageBreak/>
        <w:t>ويؤكّد ذلك معتبرة الحلبيّ قال سألت أبا عبدالله (عليه السلام) عن قوم اشتروا بُرًا، فاشتركوا فيه جميعا ولم يقس</w:t>
      </w:r>
      <w:r w:rsidRPr="00F83FCA">
        <w:rPr>
          <w:rFonts w:ascii="mylotus" w:hAnsi="mylotus"/>
          <w:sz w:val="34"/>
          <w:szCs w:val="34"/>
          <w:rtl/>
        </w:rPr>
        <w:t>ِ</w:t>
      </w:r>
      <w:r w:rsidRPr="00F83FCA">
        <w:rPr>
          <w:rFonts w:ascii="mylotus" w:hAnsi="mylotus"/>
          <w:sz w:val="34"/>
          <w:szCs w:val="34"/>
          <w:rtl/>
          <w:lang w:bidi="ar-BH"/>
        </w:rPr>
        <w:t>موه، أيصلح لأحد منهم بيع بُرّه قبل أن يقبضه؟ قَالَ</w:t>
      </w:r>
      <w:r w:rsidRPr="00F83FCA">
        <w:rPr>
          <w:rFonts w:ascii="mylotus" w:hAnsi="mylotus"/>
          <w:sz w:val="34"/>
          <w:szCs w:val="34"/>
          <w:rtl/>
        </w:rPr>
        <w:t>:</w:t>
      </w:r>
      <w:r w:rsidRPr="00F83FCA">
        <w:rPr>
          <w:rFonts w:ascii="mylotus" w:hAnsi="mylotus"/>
          <w:sz w:val="34"/>
          <w:szCs w:val="34"/>
          <w:rtl/>
          <w:lang w:bidi="ar-BH"/>
        </w:rPr>
        <w:t xml:space="preserve"> </w:t>
      </w:r>
      <w:r w:rsidRPr="00F83FCA">
        <w:rPr>
          <w:rFonts w:ascii="mylotus" w:hAnsi="mylotus"/>
          <w:sz w:val="34"/>
          <w:szCs w:val="34"/>
          <w:rtl/>
        </w:rPr>
        <w:t>"</w:t>
      </w:r>
      <w:r w:rsidRPr="00F83FCA">
        <w:rPr>
          <w:rFonts w:ascii="mylotus" w:hAnsi="mylotus"/>
          <w:sz w:val="34"/>
          <w:szCs w:val="34"/>
          <w:rtl/>
          <w:lang w:bidi="ar-BH"/>
        </w:rPr>
        <w:t>لاَ بَأْسَ بِهِ</w:t>
      </w:r>
      <w:r w:rsidRPr="00F83FCA">
        <w:rPr>
          <w:rFonts w:ascii="Times New Roman" w:hAnsi="Times New Roman" w:cs="Times New Roman" w:hint="cs"/>
          <w:sz w:val="34"/>
          <w:szCs w:val="34"/>
          <w:rtl/>
          <w:lang w:bidi="ar-BH"/>
        </w:rPr>
        <w:t>‌</w:t>
      </w:r>
      <w:r w:rsidRPr="00F83FCA">
        <w:rPr>
          <w:rFonts w:ascii="mylotus" w:hAnsi="mylotus"/>
          <w:sz w:val="34"/>
          <w:szCs w:val="34"/>
          <w:rtl/>
        </w:rPr>
        <w:t>"،</w:t>
      </w:r>
      <w:r w:rsidRPr="00F83FCA">
        <w:rPr>
          <w:rFonts w:ascii="mylotus" w:hAnsi="mylotus"/>
          <w:sz w:val="34"/>
          <w:szCs w:val="34"/>
          <w:rtl/>
          <w:lang w:bidi="ar-BH"/>
        </w:rPr>
        <w:t xml:space="preserve"> وَقَالَ</w:t>
      </w:r>
      <w:r w:rsidRPr="00F83FCA">
        <w:rPr>
          <w:rFonts w:ascii="mylotus" w:hAnsi="mylotus"/>
          <w:sz w:val="34"/>
          <w:szCs w:val="34"/>
          <w:rtl/>
        </w:rPr>
        <w:t>:</w:t>
      </w:r>
      <w:r w:rsidRPr="00F83FCA">
        <w:rPr>
          <w:rFonts w:ascii="mylotus" w:hAnsi="mylotus"/>
          <w:sz w:val="34"/>
          <w:szCs w:val="34"/>
          <w:rtl/>
          <w:lang w:bidi="ar-BH"/>
        </w:rPr>
        <w:t xml:space="preserve"> </w:t>
      </w:r>
      <w:r w:rsidRPr="00F83FCA">
        <w:rPr>
          <w:rFonts w:ascii="mylotus" w:hAnsi="mylotus"/>
          <w:sz w:val="34"/>
          <w:szCs w:val="34"/>
          <w:rtl/>
        </w:rPr>
        <w:t>"</w:t>
      </w:r>
      <w:r w:rsidRPr="00F83FCA">
        <w:rPr>
          <w:rFonts w:ascii="mylotus" w:hAnsi="mylotus"/>
          <w:sz w:val="34"/>
          <w:szCs w:val="34"/>
          <w:rtl/>
          <w:lang w:bidi="ar-BH"/>
        </w:rPr>
        <w:t>إِنَّ هَذَا لَيْسَ بِمَنْزِلَةِ اَلطَّعَامِ لِأَنَّ اَلطَّعَامَ يُكَالُ</w:t>
      </w:r>
      <w:r w:rsidRPr="00F83FCA">
        <w:rPr>
          <w:rFonts w:ascii="Times New Roman" w:hAnsi="Times New Roman" w:cs="Times New Roman" w:hint="cs"/>
          <w:sz w:val="34"/>
          <w:szCs w:val="34"/>
          <w:rtl/>
          <w:lang w:bidi="ar-BH"/>
        </w:rPr>
        <w:t>‌</w:t>
      </w:r>
      <w:r w:rsidRPr="00F83FCA">
        <w:rPr>
          <w:rFonts w:ascii="mylotus" w:hAnsi="mylotus"/>
          <w:sz w:val="34"/>
          <w:szCs w:val="34"/>
          <w:rtl/>
        </w:rPr>
        <w:t>"</w:t>
      </w:r>
      <w:r w:rsidRPr="00F83FCA">
        <w:rPr>
          <w:rFonts w:ascii="mylotus" w:hAnsi="mylotus"/>
          <w:sz w:val="34"/>
          <w:szCs w:val="34"/>
          <w:vertAlign w:val="superscript"/>
          <w:rtl/>
        </w:rPr>
        <w:t>(</w:t>
      </w:r>
      <w:r w:rsidRPr="00F83FCA">
        <w:rPr>
          <w:rStyle w:val="ac"/>
          <w:rFonts w:ascii="mylotus" w:hAnsi="mylotus"/>
          <w:sz w:val="34"/>
          <w:szCs w:val="34"/>
          <w:rtl/>
        </w:rPr>
        <w:footnoteReference w:id="8"/>
      </w:r>
      <w:r w:rsidRPr="00F83FCA">
        <w:rPr>
          <w:rFonts w:ascii="mylotus" w:hAnsi="mylotus"/>
          <w:sz w:val="34"/>
          <w:szCs w:val="34"/>
          <w:vertAlign w:val="superscript"/>
          <w:rtl/>
        </w:rPr>
        <w:t>)</w:t>
      </w:r>
      <w:r w:rsidRPr="00F83FCA">
        <w:rPr>
          <w:rFonts w:ascii="mylotus" w:hAnsi="mylotus"/>
          <w:sz w:val="34"/>
          <w:szCs w:val="34"/>
          <w:rtl/>
          <w:lang w:bidi="ar-BH"/>
        </w:rPr>
        <w:t>، ومقتضى ذلك دخول معتبرة منصور بن حازم في المعارضة، بمعنى: أن موثقة سماعة معارضة للتفصيل في معتبرة علي بن جعفر ومعتبرة منصور بن حازم.</w:t>
      </w:r>
    </w:p>
    <w:p w14:paraId="21C02CB0" w14:textId="77777777" w:rsidR="00D84BA7" w:rsidRDefault="00F83FCA" w:rsidP="00F83FCA">
      <w:pPr>
        <w:pStyle w:val="a0"/>
        <w:bidi/>
        <w:rPr>
          <w:rFonts w:ascii="mylotus" w:hAnsi="mylotus"/>
          <w:sz w:val="34"/>
          <w:szCs w:val="34"/>
          <w:rtl/>
          <w:lang w:bidi="ar-BH"/>
        </w:rPr>
      </w:pPr>
      <w:r w:rsidRPr="00F83FCA">
        <w:rPr>
          <w:rFonts w:ascii="mylotus" w:hAnsi="mylotus"/>
          <w:sz w:val="34"/>
          <w:szCs w:val="34"/>
          <w:rtl/>
          <w:lang w:bidi="ar-BH"/>
        </w:rPr>
        <w:t>والمرجّح لطرف معتبرة عليّ بن جعفر ومعتبرة منصور بن حازم هو الشهرة، أي شهرة الفتوى</w:t>
      </w:r>
      <w:r w:rsidRPr="00F83FCA">
        <w:rPr>
          <w:rFonts w:ascii="mylotus" w:hAnsi="mylotus"/>
          <w:sz w:val="34"/>
          <w:szCs w:val="34"/>
          <w:rtl/>
        </w:rPr>
        <w:t>،</w:t>
      </w:r>
      <w:r w:rsidRPr="00F83FCA">
        <w:rPr>
          <w:rFonts w:ascii="mylotus" w:hAnsi="mylotus"/>
          <w:sz w:val="34"/>
          <w:szCs w:val="34"/>
          <w:rtl/>
          <w:lang w:bidi="ar-BH"/>
        </w:rPr>
        <w:t xml:space="preserve"> بالتفصيل بين الربح والتولية دون التفصيل بين الشريك وغيره، بناءً على مجموع مسلكين:</w:t>
      </w:r>
    </w:p>
    <w:p w14:paraId="16BE0621" w14:textId="77777777" w:rsidR="00D84BA7" w:rsidRDefault="00F83FCA" w:rsidP="00F83FCA">
      <w:pPr>
        <w:pStyle w:val="a0"/>
        <w:bidi/>
        <w:rPr>
          <w:rFonts w:ascii="mylotus" w:hAnsi="mylotus"/>
          <w:sz w:val="34"/>
          <w:szCs w:val="34"/>
          <w:rtl/>
          <w:lang w:bidi="ar-BH"/>
        </w:rPr>
      </w:pPr>
      <w:r w:rsidRPr="00F83FCA">
        <w:rPr>
          <w:rFonts w:ascii="mylotus" w:hAnsi="mylotus"/>
          <w:sz w:val="34"/>
          <w:szCs w:val="34"/>
          <w:rtl/>
        </w:rPr>
        <w:t>(</w:t>
      </w:r>
      <w:r w:rsidRPr="00F83FCA">
        <w:rPr>
          <w:rFonts w:ascii="mylotus" w:hAnsi="mylotus"/>
          <w:sz w:val="34"/>
          <w:szCs w:val="34"/>
          <w:rtl/>
          <w:lang w:bidi="ar-BH"/>
        </w:rPr>
        <w:t>الأول</w:t>
      </w:r>
      <w:r w:rsidRPr="00F83FCA">
        <w:rPr>
          <w:rFonts w:ascii="mylotus" w:hAnsi="mylotus"/>
          <w:sz w:val="34"/>
          <w:szCs w:val="34"/>
          <w:rtl/>
        </w:rPr>
        <w:t>)</w:t>
      </w:r>
      <w:r w:rsidRPr="00F83FCA">
        <w:rPr>
          <w:rFonts w:ascii="mylotus" w:hAnsi="mylotus"/>
          <w:sz w:val="34"/>
          <w:szCs w:val="34"/>
          <w:rtl/>
          <w:lang w:bidi="ar-BH"/>
        </w:rPr>
        <w:t xml:space="preserve"> شمول الشهرة في مقبولة عمر بن حنظلة للشهرة </w:t>
      </w:r>
      <w:proofErr w:type="spellStart"/>
      <w:r w:rsidRPr="00F83FCA">
        <w:rPr>
          <w:rFonts w:ascii="mylotus" w:hAnsi="mylotus"/>
          <w:sz w:val="34"/>
          <w:szCs w:val="34"/>
          <w:rtl/>
          <w:lang w:bidi="ar-BH"/>
        </w:rPr>
        <w:t>الفتوائيّة</w:t>
      </w:r>
      <w:proofErr w:type="spellEnd"/>
      <w:r w:rsidRPr="00F83FCA">
        <w:rPr>
          <w:rFonts w:ascii="mylotus" w:hAnsi="mylotus"/>
          <w:sz w:val="34"/>
          <w:szCs w:val="34"/>
          <w:rtl/>
          <w:lang w:bidi="ar-BH"/>
        </w:rPr>
        <w:t>.</w:t>
      </w:r>
    </w:p>
    <w:p w14:paraId="562BB48A" w14:textId="31D4080D" w:rsidR="00F83FCA" w:rsidRPr="00F83FCA" w:rsidRDefault="00F83FCA" w:rsidP="00F83FCA">
      <w:pPr>
        <w:pStyle w:val="a0"/>
        <w:bidi/>
        <w:rPr>
          <w:rFonts w:ascii="mylotus" w:hAnsi="mylotus"/>
          <w:sz w:val="34"/>
          <w:szCs w:val="34"/>
          <w:rtl/>
        </w:rPr>
      </w:pPr>
      <w:r w:rsidRPr="00F83FCA">
        <w:rPr>
          <w:rFonts w:ascii="mylotus" w:hAnsi="mylotus"/>
          <w:sz w:val="34"/>
          <w:szCs w:val="34"/>
          <w:rtl/>
        </w:rPr>
        <w:t>(</w:t>
      </w:r>
      <w:r w:rsidRPr="00F83FCA">
        <w:rPr>
          <w:rFonts w:ascii="mylotus" w:hAnsi="mylotus"/>
          <w:sz w:val="34"/>
          <w:szCs w:val="34"/>
          <w:rtl/>
          <w:lang w:bidi="ar-BH"/>
        </w:rPr>
        <w:t>الثاني</w:t>
      </w:r>
      <w:r w:rsidRPr="00F83FCA">
        <w:rPr>
          <w:rFonts w:ascii="mylotus" w:hAnsi="mylotus"/>
          <w:sz w:val="34"/>
          <w:szCs w:val="34"/>
          <w:rtl/>
        </w:rPr>
        <w:t>)</w:t>
      </w:r>
      <w:r w:rsidRPr="00F83FCA">
        <w:rPr>
          <w:rFonts w:ascii="mylotus" w:hAnsi="mylotus"/>
          <w:sz w:val="34"/>
          <w:szCs w:val="34"/>
          <w:rtl/>
          <w:lang w:bidi="ar-BH"/>
        </w:rPr>
        <w:t xml:space="preserve"> تقديم المرجّح الصدوريّ </w:t>
      </w:r>
      <w:r w:rsidRPr="00F83FCA">
        <w:rPr>
          <w:rFonts w:ascii="mylotus" w:hAnsi="mylotus"/>
          <w:sz w:val="34"/>
          <w:szCs w:val="34"/>
          <w:rtl/>
        </w:rPr>
        <w:t>-</w:t>
      </w:r>
      <w:r w:rsidRPr="00F83FCA">
        <w:rPr>
          <w:rFonts w:ascii="mylotus" w:hAnsi="mylotus"/>
          <w:sz w:val="34"/>
          <w:szCs w:val="34"/>
          <w:rtl/>
          <w:lang w:bidi="ar-BH"/>
        </w:rPr>
        <w:t>وهو الشهرة</w:t>
      </w:r>
      <w:r w:rsidRPr="00F83FCA">
        <w:rPr>
          <w:rFonts w:ascii="mylotus" w:hAnsi="mylotus"/>
          <w:sz w:val="34"/>
          <w:szCs w:val="34"/>
          <w:rtl/>
        </w:rPr>
        <w:t>-</w:t>
      </w:r>
      <w:r w:rsidRPr="00F83FCA">
        <w:rPr>
          <w:rFonts w:ascii="mylotus" w:hAnsi="mylotus"/>
          <w:sz w:val="34"/>
          <w:szCs w:val="34"/>
          <w:rtl/>
          <w:lang w:bidi="ar-BH"/>
        </w:rPr>
        <w:t xml:space="preserve"> على المرجّح المضمونيّ </w:t>
      </w:r>
      <w:r w:rsidRPr="00F83FCA">
        <w:rPr>
          <w:rFonts w:ascii="mylotus" w:hAnsi="mylotus"/>
          <w:sz w:val="34"/>
          <w:szCs w:val="34"/>
          <w:rtl/>
        </w:rPr>
        <w:t>-</w:t>
      </w:r>
      <w:r w:rsidRPr="00F83FCA">
        <w:rPr>
          <w:rFonts w:ascii="mylotus" w:hAnsi="mylotus"/>
          <w:sz w:val="34"/>
          <w:szCs w:val="34"/>
          <w:rtl/>
          <w:lang w:bidi="ar-BH"/>
        </w:rPr>
        <w:t>وهو موافقة الكتاب</w:t>
      </w:r>
      <w:r w:rsidRPr="00F83FCA">
        <w:rPr>
          <w:rFonts w:ascii="mylotus" w:hAnsi="mylotus"/>
          <w:sz w:val="34"/>
          <w:szCs w:val="34"/>
          <w:rtl/>
        </w:rPr>
        <w:t>-</w:t>
      </w:r>
      <w:r w:rsidRPr="00F83FCA">
        <w:rPr>
          <w:rFonts w:ascii="mylotus" w:hAnsi="mylotus"/>
          <w:sz w:val="34"/>
          <w:szCs w:val="34"/>
          <w:rtl/>
          <w:lang w:bidi="ar-BH"/>
        </w:rPr>
        <w:t>.</w:t>
      </w:r>
    </w:p>
    <w:p w14:paraId="5FBD185F" w14:textId="1E37DB70" w:rsidR="001E176D" w:rsidRPr="00EA715A" w:rsidRDefault="001E176D" w:rsidP="001E176D">
      <w:pPr>
        <w:pStyle w:val="a0"/>
        <w:bidi/>
        <w:rPr>
          <w:rFonts w:ascii="mylotus" w:hAnsi="mylotus"/>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8A028F" w14:textId="77777777" w:rsidR="00C71AF5" w:rsidRDefault="00C71AF5" w:rsidP="00A5027D">
      <w:pPr>
        <w:spacing w:line="240" w:lineRule="auto"/>
      </w:pPr>
      <w:r>
        <w:separator/>
      </w:r>
    </w:p>
  </w:endnote>
  <w:endnote w:type="continuationSeparator" w:id="0">
    <w:p w14:paraId="2EDCCF28" w14:textId="77777777" w:rsidR="00C71AF5" w:rsidRDefault="00C71AF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809BC" w14:textId="77777777" w:rsidR="00362735" w:rsidRDefault="0036273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5371D" w:rsidRPr="0085371D">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31B6E" w14:textId="77777777" w:rsidR="00362735" w:rsidRDefault="0036273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5E0435" w14:textId="77777777" w:rsidR="00C71AF5" w:rsidRDefault="00C71AF5" w:rsidP="00A5027D">
      <w:pPr>
        <w:spacing w:line="240" w:lineRule="auto"/>
      </w:pPr>
      <w:r>
        <w:separator/>
      </w:r>
    </w:p>
  </w:footnote>
  <w:footnote w:type="continuationSeparator" w:id="0">
    <w:p w14:paraId="7243305D" w14:textId="77777777" w:rsidR="00C71AF5" w:rsidRDefault="00C71AF5" w:rsidP="00A5027D">
      <w:pPr>
        <w:spacing w:line="240" w:lineRule="auto"/>
      </w:pPr>
      <w:r>
        <w:continuationSeparator/>
      </w:r>
    </w:p>
  </w:footnote>
  <w:footnote w:id="1">
    <w:p w14:paraId="65B9F197" w14:textId="77777777" w:rsidR="00F83FCA" w:rsidRDefault="00F83FCA" w:rsidP="00F83FCA">
      <w:pPr>
        <w:pStyle w:val="a4"/>
      </w:pPr>
      <w:r w:rsidRPr="002906EC">
        <w:rPr>
          <w:rFonts w:hint="cs"/>
          <w:rtl/>
        </w:rPr>
        <w:t>(</w:t>
      </w:r>
      <w:r w:rsidRPr="002906EC">
        <w:rPr>
          <w:rStyle w:val="ac"/>
          <w:vertAlign w:val="baseline"/>
        </w:rPr>
        <w:footnoteRef/>
      </w:r>
      <w:r w:rsidRPr="002906EC">
        <w:rPr>
          <w:rFonts w:hint="cs"/>
          <w:rtl/>
        </w:rPr>
        <w:t>)</w:t>
      </w:r>
      <w:r w:rsidRPr="002906EC">
        <w:rPr>
          <w:rtl/>
        </w:rPr>
        <w:t xml:space="preserve"> </w:t>
      </w:r>
      <w:r w:rsidRPr="002906EC">
        <w:rPr>
          <w:rFonts w:hint="cs"/>
          <w:rtl/>
        </w:rPr>
        <w:t xml:space="preserve">راجع: </w:t>
      </w:r>
      <w:r w:rsidRPr="002906EC">
        <w:rPr>
          <w:rFonts w:hint="cs"/>
          <w:b/>
          <w:bCs/>
          <w:rtl/>
        </w:rPr>
        <w:t>تهذيب الأحك</w:t>
      </w:r>
      <w:r>
        <w:rPr>
          <w:rFonts w:hint="cs"/>
          <w:b/>
          <w:bCs/>
          <w:rtl/>
        </w:rPr>
        <w:t>ام</w:t>
      </w:r>
      <w:r w:rsidRPr="002906EC">
        <w:rPr>
          <w:rFonts w:hint="cs"/>
          <w:rtl/>
        </w:rPr>
        <w:t>،</w:t>
      </w:r>
      <w:r>
        <w:rPr>
          <w:rFonts w:hint="cs"/>
          <w:rtl/>
        </w:rPr>
        <w:t xml:space="preserve"> محمد بن الحسن الطوسي، </w:t>
      </w:r>
      <w:r>
        <w:rPr>
          <w:rFonts w:cs="Simplified Arabic"/>
          <w:rtl/>
          <w:lang w:bidi="ar-BH"/>
        </w:rPr>
        <w:t>ج7، ص36</w:t>
      </w:r>
      <w:r>
        <w:rPr>
          <w:rFonts w:hint="cs"/>
          <w:rtl/>
        </w:rPr>
        <w:t>.</w:t>
      </w:r>
    </w:p>
  </w:footnote>
  <w:footnote w:id="2">
    <w:p w14:paraId="2976176E" w14:textId="77777777" w:rsidR="00F83FCA" w:rsidRDefault="00F83FCA" w:rsidP="00F83FCA">
      <w:pPr>
        <w:pStyle w:val="a4"/>
      </w:pPr>
      <w:r w:rsidRPr="00FD10C4">
        <w:rPr>
          <w:rFonts w:hint="cs"/>
          <w:rtl/>
        </w:rPr>
        <w:t>(</w:t>
      </w:r>
      <w:r w:rsidRPr="00FD10C4">
        <w:rPr>
          <w:rStyle w:val="ac"/>
          <w:vertAlign w:val="baseline"/>
        </w:rPr>
        <w:footnoteRef/>
      </w:r>
      <w:r w:rsidRPr="00FD10C4">
        <w:rPr>
          <w:rFonts w:hint="cs"/>
          <w:rtl/>
        </w:rPr>
        <w:t>)</w:t>
      </w:r>
      <w:r>
        <w:rPr>
          <w:rtl/>
        </w:rPr>
        <w:t xml:space="preserve"> </w:t>
      </w:r>
      <w:r>
        <w:rPr>
          <w:rFonts w:hint="cs"/>
          <w:rtl/>
        </w:rPr>
        <w:t xml:space="preserve">راجع: </w:t>
      </w:r>
      <w:r w:rsidRPr="00FD10C4">
        <w:rPr>
          <w:rFonts w:hint="cs"/>
          <w:b/>
          <w:bCs/>
          <w:rtl/>
        </w:rPr>
        <w:t>تهذيب الأحكام</w:t>
      </w:r>
      <w:r>
        <w:rPr>
          <w:rFonts w:hint="cs"/>
          <w:rtl/>
        </w:rPr>
        <w:t xml:space="preserve"> - المشيخة، محمد بن الحسن الطوسي، ج10، ص86.</w:t>
      </w:r>
    </w:p>
  </w:footnote>
  <w:footnote w:id="3">
    <w:p w14:paraId="326DAE2E" w14:textId="77777777" w:rsidR="00F83FCA" w:rsidRDefault="00F83FCA" w:rsidP="00F83FCA">
      <w:pPr>
        <w:pStyle w:val="a4"/>
      </w:pPr>
      <w:r w:rsidRPr="0072638D">
        <w:rPr>
          <w:rFonts w:hint="cs"/>
          <w:rtl/>
        </w:rPr>
        <w:t>(</w:t>
      </w:r>
      <w:r w:rsidRPr="0072638D">
        <w:rPr>
          <w:rStyle w:val="ac"/>
          <w:vertAlign w:val="baseline"/>
        </w:rPr>
        <w:footnoteRef/>
      </w:r>
      <w:r w:rsidRPr="0072638D">
        <w:rPr>
          <w:rFonts w:hint="cs"/>
          <w:rtl/>
        </w:rPr>
        <w:t>)</w:t>
      </w:r>
      <w:r>
        <w:rPr>
          <w:rtl/>
        </w:rPr>
        <w:t xml:space="preserve"> </w:t>
      </w:r>
      <w:r w:rsidRPr="0072638D">
        <w:rPr>
          <w:rFonts w:hint="cs"/>
          <w:b/>
          <w:bCs/>
          <w:rtl/>
        </w:rPr>
        <w:t>من لا يحضره الفقيه</w:t>
      </w:r>
      <w:r>
        <w:rPr>
          <w:rFonts w:hint="cs"/>
          <w:rtl/>
        </w:rPr>
        <w:t xml:space="preserve">، الشيخ الصدوق، </w:t>
      </w:r>
      <w:r>
        <w:rPr>
          <w:rFonts w:cs="Simplified Arabic"/>
          <w:rtl/>
          <w:lang w:bidi="ar-BH"/>
        </w:rPr>
        <w:t>ج3، ص206</w:t>
      </w:r>
      <w:r>
        <w:rPr>
          <w:rFonts w:hint="cs"/>
          <w:rtl/>
        </w:rPr>
        <w:t>.</w:t>
      </w:r>
    </w:p>
  </w:footnote>
  <w:footnote w:id="4">
    <w:p w14:paraId="34BFDEAC" w14:textId="77777777" w:rsidR="00F83FCA" w:rsidRDefault="00F83FCA" w:rsidP="00F83FCA">
      <w:pPr>
        <w:pStyle w:val="a4"/>
      </w:pPr>
      <w:r w:rsidRPr="00DE284F">
        <w:rPr>
          <w:rFonts w:hint="cs"/>
          <w:rtl/>
        </w:rPr>
        <w:t>(</w:t>
      </w:r>
      <w:r w:rsidRPr="00DE284F">
        <w:rPr>
          <w:rStyle w:val="ac"/>
          <w:vertAlign w:val="baseline"/>
        </w:rPr>
        <w:footnoteRef/>
      </w:r>
      <w:r w:rsidRPr="00DE284F">
        <w:rPr>
          <w:rFonts w:hint="cs"/>
          <w:rtl/>
        </w:rPr>
        <w:t>)</w:t>
      </w:r>
      <w:r>
        <w:rPr>
          <w:rFonts w:hint="cs"/>
          <w:rtl/>
        </w:rPr>
        <w:t xml:space="preserve"> </w:t>
      </w:r>
      <w:r w:rsidRPr="00DE284F">
        <w:rPr>
          <w:rFonts w:hint="cs"/>
          <w:b/>
          <w:bCs/>
          <w:rtl/>
        </w:rPr>
        <w:t>تهذيب الأحكام</w:t>
      </w:r>
      <w:r>
        <w:rPr>
          <w:rFonts w:hint="cs"/>
          <w:rtl/>
        </w:rPr>
        <w:t xml:space="preserve">، محمد بن الحسن الطوسي، </w:t>
      </w:r>
      <w:r>
        <w:rPr>
          <w:rFonts w:cs="Simplified Arabic"/>
          <w:rtl/>
          <w:lang w:bidi="ar-BH"/>
        </w:rPr>
        <w:t>ج7، ص35</w:t>
      </w:r>
      <w:r>
        <w:rPr>
          <w:rFonts w:hint="cs"/>
          <w:rtl/>
        </w:rPr>
        <w:t>.</w:t>
      </w:r>
    </w:p>
  </w:footnote>
  <w:footnote w:id="5">
    <w:p w14:paraId="3FCE3CA8" w14:textId="77777777" w:rsidR="00F83FCA" w:rsidRDefault="00F83FCA" w:rsidP="00F83FCA">
      <w:pPr>
        <w:pStyle w:val="a4"/>
        <w:rPr>
          <w:rtl/>
        </w:rPr>
      </w:pPr>
      <w:r w:rsidRPr="003F27EB">
        <w:rPr>
          <w:rFonts w:hint="cs"/>
          <w:rtl/>
        </w:rPr>
        <w:t>(</w:t>
      </w:r>
      <w:r w:rsidRPr="003F27EB">
        <w:rPr>
          <w:rStyle w:val="ac"/>
          <w:vertAlign w:val="baseline"/>
        </w:rPr>
        <w:footnoteRef/>
      </w:r>
      <w:r w:rsidRPr="003F27EB">
        <w:rPr>
          <w:rFonts w:hint="cs"/>
          <w:rtl/>
        </w:rPr>
        <w:t>)</w:t>
      </w:r>
      <w:r>
        <w:rPr>
          <w:rFonts w:hint="cs"/>
          <w:rtl/>
        </w:rPr>
        <w:t xml:space="preserve"> راجع: </w:t>
      </w:r>
      <w:r w:rsidRPr="003F27EB">
        <w:rPr>
          <w:rFonts w:hint="cs"/>
          <w:b/>
          <w:bCs/>
          <w:rtl/>
        </w:rPr>
        <w:t>مشيخة الفقيه</w:t>
      </w:r>
      <w:r>
        <w:rPr>
          <w:rFonts w:hint="cs"/>
          <w:rtl/>
        </w:rPr>
        <w:t xml:space="preserve">: </w:t>
      </w:r>
      <w:r>
        <w:rPr>
          <w:rFonts w:cs="Simplified Arabic"/>
          <w:rtl/>
          <w:lang w:bidi="ar-BH"/>
        </w:rPr>
        <w:t>ص434</w:t>
      </w:r>
      <w:r>
        <w:rPr>
          <w:rFonts w:hint="cs"/>
          <w:rtl/>
        </w:rPr>
        <w:t>.</w:t>
      </w:r>
    </w:p>
  </w:footnote>
  <w:footnote w:id="6">
    <w:p w14:paraId="65F9E081" w14:textId="77777777" w:rsidR="00F83FCA" w:rsidRDefault="00F83FCA" w:rsidP="00F83FCA">
      <w:pPr>
        <w:pStyle w:val="a4"/>
      </w:pPr>
      <w:r w:rsidRPr="00A26CF7">
        <w:rPr>
          <w:rFonts w:hint="cs"/>
          <w:rtl/>
        </w:rPr>
        <w:t>(</w:t>
      </w:r>
      <w:r w:rsidRPr="00A26CF7">
        <w:rPr>
          <w:rStyle w:val="ac"/>
          <w:vertAlign w:val="baseline"/>
        </w:rPr>
        <w:footnoteRef/>
      </w:r>
      <w:r w:rsidRPr="00A26CF7">
        <w:rPr>
          <w:rFonts w:hint="cs"/>
          <w:rtl/>
        </w:rPr>
        <w:t>)</w:t>
      </w:r>
      <w:r w:rsidRPr="00A26CF7">
        <w:rPr>
          <w:rtl/>
        </w:rPr>
        <w:t xml:space="preserve"> </w:t>
      </w:r>
      <w:r w:rsidRPr="00A26CF7">
        <w:rPr>
          <w:rFonts w:hint="cs"/>
          <w:b/>
          <w:bCs/>
          <w:rtl/>
        </w:rPr>
        <w:t>رجال النجاشي</w:t>
      </w:r>
      <w:r>
        <w:rPr>
          <w:rFonts w:hint="cs"/>
          <w:rtl/>
        </w:rPr>
        <w:t xml:space="preserve"> (مؤسسة النشر الإسلامي)، أحمد بن علي النجاشي، ص339.</w:t>
      </w:r>
    </w:p>
  </w:footnote>
  <w:footnote w:id="7">
    <w:p w14:paraId="3E26AF26" w14:textId="77777777" w:rsidR="00F83FCA" w:rsidRDefault="00F83FCA" w:rsidP="00F83FCA">
      <w:pPr>
        <w:pStyle w:val="a4"/>
      </w:pPr>
      <w:r w:rsidRPr="00BD6664">
        <w:rPr>
          <w:rFonts w:hint="cs"/>
          <w:rtl/>
        </w:rPr>
        <w:t>(</w:t>
      </w:r>
      <w:r w:rsidRPr="00BD6664">
        <w:rPr>
          <w:rStyle w:val="ac"/>
          <w:vertAlign w:val="baseline"/>
        </w:rPr>
        <w:footnoteRef/>
      </w:r>
      <w:r w:rsidRPr="00BD6664">
        <w:rPr>
          <w:rFonts w:hint="cs"/>
          <w:rtl/>
        </w:rPr>
        <w:t>)</w:t>
      </w:r>
      <w:r w:rsidRPr="00BD6664">
        <w:rPr>
          <w:rtl/>
        </w:rPr>
        <w:t xml:space="preserve"> </w:t>
      </w:r>
      <w:r w:rsidRPr="00BD6664">
        <w:rPr>
          <w:rFonts w:hint="cs"/>
          <w:rtl/>
        </w:rPr>
        <w:t>راجع:</w:t>
      </w:r>
      <w:r>
        <w:rPr>
          <w:rFonts w:hint="cs"/>
          <w:rtl/>
        </w:rPr>
        <w:t xml:space="preserve"> </w:t>
      </w:r>
      <w:r w:rsidRPr="00BD6664">
        <w:rPr>
          <w:rFonts w:hint="cs"/>
          <w:b/>
          <w:bCs/>
          <w:rtl/>
        </w:rPr>
        <w:t>وسائل الشيعة</w:t>
      </w:r>
      <w:r>
        <w:rPr>
          <w:rFonts w:hint="cs"/>
          <w:rtl/>
        </w:rPr>
        <w:t>، الحر العاملي، كتاب التجارة، الباب 16 من أبواب احكام العقود، ح12.</w:t>
      </w:r>
    </w:p>
  </w:footnote>
  <w:footnote w:id="8">
    <w:p w14:paraId="6D1A0910" w14:textId="77777777" w:rsidR="00F83FCA" w:rsidRDefault="00F83FCA" w:rsidP="00F83FCA">
      <w:pPr>
        <w:pStyle w:val="a4"/>
      </w:pPr>
      <w:r w:rsidRPr="003C4CB6">
        <w:rPr>
          <w:rFonts w:hint="cs"/>
          <w:rtl/>
        </w:rPr>
        <w:t>(</w:t>
      </w:r>
      <w:r w:rsidRPr="003C4CB6">
        <w:rPr>
          <w:rStyle w:val="ac"/>
          <w:vertAlign w:val="baseline"/>
        </w:rPr>
        <w:footnoteRef/>
      </w:r>
      <w:r w:rsidRPr="003C4CB6">
        <w:rPr>
          <w:rFonts w:hint="cs"/>
          <w:rtl/>
        </w:rPr>
        <w:t>)</w:t>
      </w:r>
      <w:r>
        <w:rPr>
          <w:rtl/>
        </w:rPr>
        <w:t xml:space="preserve"> </w:t>
      </w:r>
      <w:r w:rsidRPr="003C4CB6">
        <w:rPr>
          <w:rFonts w:hint="cs"/>
          <w:b/>
          <w:bCs/>
          <w:rtl/>
        </w:rPr>
        <w:t>تهذيب الأحكام</w:t>
      </w:r>
      <w:r>
        <w:rPr>
          <w:rFonts w:hint="cs"/>
          <w:rtl/>
        </w:rPr>
        <w:t>، محمد بن الحسن الطوسي، الباب 4 من كتاب التجارات، ح40.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91193" w14:textId="77777777" w:rsidR="00362735" w:rsidRDefault="0036273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1CE24C92" w:rsidR="00B07F43" w:rsidRDefault="00B8145D" w:rsidP="00D744BC">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3C7AF6">
      <w:rPr>
        <w:rFonts w:ascii="mylotus" w:hAnsi="mylotus" w:cs="mylotus" w:hint="cs"/>
        <w:color w:val="FF0000"/>
        <w:sz w:val="24"/>
        <w:szCs w:val="24"/>
        <w:rtl/>
      </w:rPr>
      <w:t>20</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362735">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3C7AF6">
      <w:rPr>
        <w:rFonts w:ascii="mylotus" w:hAnsi="mylotus" w:cs="mylotus" w:hint="cs"/>
        <w:color w:val="FF0000"/>
        <w:sz w:val="24"/>
        <w:szCs w:val="24"/>
        <w:rtl/>
      </w:rPr>
      <w:t>9</w:t>
    </w:r>
    <w:r w:rsidR="002F7D24" w:rsidRPr="00EF47A8">
      <w:rPr>
        <w:rFonts w:ascii="mylotus" w:hAnsi="mylotus" w:cs="mylotus"/>
        <w:color w:val="FF0000"/>
        <w:sz w:val="24"/>
        <w:szCs w:val="24"/>
        <w:rtl/>
      </w:rPr>
      <w:t xml:space="preserve"> - ليلة </w:t>
    </w:r>
    <w:r w:rsidR="003C7AF6">
      <w:rPr>
        <w:rFonts w:ascii="mylotus" w:hAnsi="mylotus" w:cs="mylotus" w:hint="cs"/>
        <w:color w:val="FF0000"/>
        <w:sz w:val="24"/>
        <w:szCs w:val="24"/>
        <w:rtl/>
      </w:rPr>
      <w:t>الثلاثاء 27</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AEDE9" w14:textId="77777777" w:rsidR="00362735" w:rsidRDefault="00362735">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5AD1"/>
    <w:rsid w:val="00075B8F"/>
    <w:rsid w:val="00083EE7"/>
    <w:rsid w:val="00085C01"/>
    <w:rsid w:val="000868A0"/>
    <w:rsid w:val="00086E17"/>
    <w:rsid w:val="00092277"/>
    <w:rsid w:val="000A1086"/>
    <w:rsid w:val="000C0E66"/>
    <w:rsid w:val="000C2631"/>
    <w:rsid w:val="000E2746"/>
    <w:rsid w:val="000E2AF5"/>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62735"/>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4327"/>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371D"/>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1AF5"/>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32E21-336A-490C-B98C-D517C7AA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901</Words>
  <Characters>5136</Characters>
  <Application>Microsoft Office Word</Application>
  <DocSecurity>0</DocSecurity>
  <Lines>42</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2026-03-25T07:41:00Z</cp:lastPrinted>
  <dcterms:created xsi:type="dcterms:W3CDTF">2026-03-29T14:19:00Z</dcterms:created>
  <dcterms:modified xsi:type="dcterms:W3CDTF">2026-03-29T14:19:00Z</dcterms:modified>
</cp:coreProperties>
</file>