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0264BD0" w14:textId="77777777" w:rsidR="00AD3624" w:rsidRDefault="00AD3624" w:rsidP="00AD3624">
      <w:pPr>
        <w:rPr>
          <w:rtl/>
        </w:rPr>
      </w:pPr>
    </w:p>
    <w:p w14:paraId="22A22793"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 xml:space="preserve">والصحيح هو ما ذهب إليه المشهور من فساد بيع المكيل والموزون بربحٍ قبل قبضه. وبناءً على ذلك، فلا يندفع المحذور في بيع الأسهم من المعادن أو الذهب بربحٍ قبل قبضها إلّا بتوكيل البائع أو الوسيط في القبض عنه. بمعنى أنّ مَن يشتري الأسهم في منصّات بيع الأسهم، لا بدّ أن يقرن شراءه بتوكيل البائع أو الوسيط في عمليّة البيع بقبض تلك الأسهم ليكون عند بيعه له بربح متمكنا من </w:t>
      </w:r>
      <w:proofErr w:type="spellStart"/>
      <w:r w:rsidRPr="002F55F2">
        <w:rPr>
          <w:rFonts w:ascii="mylotus" w:hAnsi="mylotus"/>
          <w:sz w:val="34"/>
          <w:szCs w:val="34"/>
          <w:rtl/>
          <w:lang w:bidi="ar-BH"/>
        </w:rPr>
        <w:t>إقباضه</w:t>
      </w:r>
      <w:proofErr w:type="spellEnd"/>
      <w:r w:rsidRPr="002F55F2">
        <w:rPr>
          <w:rFonts w:ascii="mylotus" w:hAnsi="mylotus"/>
          <w:sz w:val="34"/>
          <w:szCs w:val="34"/>
          <w:rtl/>
          <w:lang w:bidi="ar-BH"/>
        </w:rPr>
        <w:t xml:space="preserve"> ولو بالوكالة،</w:t>
      </w:r>
      <w:r w:rsidRPr="002F55F2">
        <w:rPr>
          <w:rFonts w:ascii="mylotus" w:hAnsi="mylotus"/>
          <w:sz w:val="34"/>
          <w:szCs w:val="34"/>
          <w:rtl/>
        </w:rPr>
        <w:t xml:space="preserve"> </w:t>
      </w:r>
      <w:r w:rsidRPr="002F55F2">
        <w:rPr>
          <w:rFonts w:ascii="mylotus" w:hAnsi="mylotus"/>
          <w:sz w:val="34"/>
          <w:szCs w:val="34"/>
          <w:rtl/>
          <w:lang w:bidi="ar-BH"/>
        </w:rPr>
        <w:t>ولو كان القبض بمصداقه القانونيّ؛ حيث مضى أنّ المحقِّق للقبض عرفا هو السلطنة على التصرّف، لا</w:t>
      </w:r>
      <w:r w:rsidRPr="002F55F2">
        <w:rPr>
          <w:rFonts w:ascii="mylotus" w:hAnsi="mylotus"/>
          <w:sz w:val="34"/>
          <w:szCs w:val="34"/>
          <w:rtl/>
        </w:rPr>
        <w:t xml:space="preserve"> </w:t>
      </w:r>
      <w:r w:rsidRPr="002F55F2">
        <w:rPr>
          <w:rFonts w:ascii="mylotus" w:hAnsi="mylotus"/>
          <w:sz w:val="34"/>
          <w:szCs w:val="34"/>
          <w:rtl/>
          <w:lang w:bidi="ar-BH"/>
        </w:rPr>
        <w:t>خصوص القبض الحسّي باليد، هذا تمام الكلام في المحذور الثالث.</w:t>
      </w:r>
    </w:p>
    <w:p w14:paraId="41D50772" w14:textId="77777777" w:rsidR="002F55F2" w:rsidRPr="00A649BA" w:rsidRDefault="002F55F2" w:rsidP="002F55F2">
      <w:pPr>
        <w:pStyle w:val="a0"/>
        <w:bidi/>
        <w:rPr>
          <w:rFonts w:ascii="mylotus" w:hAnsi="mylotus"/>
          <w:b/>
          <w:bCs/>
          <w:sz w:val="34"/>
          <w:szCs w:val="34"/>
          <w:rtl/>
        </w:rPr>
      </w:pPr>
      <w:r w:rsidRPr="00A649BA">
        <w:rPr>
          <w:rFonts w:ascii="mylotus" w:hAnsi="mylotus"/>
          <w:b/>
          <w:bCs/>
          <w:sz w:val="34"/>
          <w:szCs w:val="34"/>
          <w:rtl/>
          <w:lang w:bidi="ar-BH"/>
        </w:rPr>
        <w:t>المحذور الرابع: بيع الكالي بالكالي</w:t>
      </w:r>
    </w:p>
    <w:p w14:paraId="248B8079"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قد يكون التعامل في الرافعة المالية وغيرها بالعملات، والشائع في التعامل بالعملات هو المبادلة بين كليٍّ وكليّ؛ كبيع ألف دولار في الذمّة بمثله من اليورو في الذمّة. وقد وقع الكلام في صحّة بيع الكليّ بالكليّ، وإن كان المتبايعان قادرين على التسليم.</w:t>
      </w:r>
    </w:p>
    <w:p w14:paraId="16CC768E"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قال سيّدنا الخوئيّ (قدّس سرّه) في موسوعته: "ينقسم البيع باعتبار التعجيل والتأجيل في العوضين إلى أربعة أقسام؛ فإنّ العوضين ربما يكون كلاهما معجّلين وهذا هو بيع النقد، وأخرى يكون كلاهما مؤجّلين وهذا هو بيع الكالي بالكالي، وثالثة يكون أحدهما معجّلاً والآخر مؤجّلاً؛ فإن كان المعجّل هو المعوّض فيسمّى بيع النسيئة، وإن كان المعجّل هو العوض فيسمّى بيع السَّلَم أو السَّلَف"</w:t>
      </w:r>
      <w:r w:rsidRPr="002F55F2">
        <w:rPr>
          <w:rFonts w:ascii="mylotus" w:hAnsi="mylotus"/>
          <w:sz w:val="34"/>
          <w:szCs w:val="34"/>
          <w:vertAlign w:val="superscript"/>
          <w:rtl/>
        </w:rPr>
        <w:t>(</w:t>
      </w:r>
      <w:r w:rsidRPr="002F55F2">
        <w:rPr>
          <w:rStyle w:val="ac"/>
          <w:rFonts w:ascii="mylotus" w:hAnsi="mylotus"/>
          <w:sz w:val="34"/>
          <w:szCs w:val="34"/>
          <w:rtl/>
        </w:rPr>
        <w:footnoteReference w:id="1"/>
      </w:r>
      <w:r w:rsidRPr="002F55F2">
        <w:rPr>
          <w:rFonts w:ascii="mylotus" w:hAnsi="mylotus"/>
          <w:sz w:val="34"/>
          <w:szCs w:val="34"/>
          <w:vertAlign w:val="superscript"/>
          <w:rtl/>
        </w:rPr>
        <w:t>)</w:t>
      </w:r>
      <w:r w:rsidRPr="002F55F2">
        <w:rPr>
          <w:rFonts w:ascii="mylotus" w:hAnsi="mylotus"/>
          <w:sz w:val="34"/>
          <w:szCs w:val="34"/>
          <w:rtl/>
          <w:lang w:bidi="ar-BH"/>
        </w:rPr>
        <w:t>.</w:t>
      </w:r>
    </w:p>
    <w:p w14:paraId="3CECDBD6"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والكلام فعلاً في القسم الثاني، وهو بيع مؤجّلٍ بمؤجّل.</w:t>
      </w:r>
    </w:p>
    <w:p w14:paraId="65BA67B3"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lastRenderedPageBreak/>
        <w:t>وقد أفاد صاحب الحدائق (رحمه الله) في: "الظاهر أنّه لا خلاف بينهم في تحريم بيع الدَّين بالدَّين، ويدلّ على ذلك من طريق الخاصّة رواية طلحة بن زيد"</w:t>
      </w:r>
      <w:r w:rsidRPr="002F55F2">
        <w:rPr>
          <w:rFonts w:ascii="mylotus" w:hAnsi="mylotus"/>
          <w:sz w:val="34"/>
          <w:szCs w:val="34"/>
          <w:vertAlign w:val="superscript"/>
          <w:rtl/>
        </w:rPr>
        <w:t>(</w:t>
      </w:r>
      <w:r w:rsidRPr="002F55F2">
        <w:rPr>
          <w:rStyle w:val="ac"/>
          <w:rFonts w:ascii="mylotus" w:hAnsi="mylotus"/>
          <w:sz w:val="34"/>
          <w:szCs w:val="34"/>
          <w:rtl/>
        </w:rPr>
        <w:footnoteReference w:id="2"/>
      </w:r>
      <w:r w:rsidRPr="002F55F2">
        <w:rPr>
          <w:rFonts w:ascii="mylotus" w:hAnsi="mylotus"/>
          <w:sz w:val="34"/>
          <w:szCs w:val="34"/>
          <w:vertAlign w:val="superscript"/>
          <w:rtl/>
        </w:rPr>
        <w:t>)</w:t>
      </w:r>
      <w:r w:rsidRPr="002F55F2">
        <w:rPr>
          <w:rFonts w:ascii="mylotus" w:hAnsi="mylotus"/>
          <w:sz w:val="34"/>
          <w:szCs w:val="34"/>
          <w:rtl/>
        </w:rPr>
        <w:t>،</w:t>
      </w:r>
      <w:r w:rsidRPr="002F55F2">
        <w:rPr>
          <w:rFonts w:ascii="mylotus" w:hAnsi="mylotus"/>
          <w:sz w:val="34"/>
          <w:szCs w:val="34"/>
          <w:rtl/>
          <w:lang w:bidi="ar-BH"/>
        </w:rPr>
        <w:t xml:space="preserve"> </w:t>
      </w:r>
      <w:r w:rsidRPr="002F55F2">
        <w:rPr>
          <w:rFonts w:ascii="mylotus" w:hAnsi="mylotus"/>
          <w:sz w:val="34"/>
          <w:szCs w:val="34"/>
          <w:rtl/>
        </w:rPr>
        <w:t xml:space="preserve">وهو </w:t>
      </w:r>
      <w:r w:rsidRPr="002F55F2">
        <w:rPr>
          <w:rFonts w:ascii="mylotus" w:hAnsi="mylotus"/>
          <w:sz w:val="34"/>
          <w:szCs w:val="34"/>
          <w:rtl/>
          <w:lang w:bidi="ar-BH"/>
        </w:rPr>
        <w:t>كما في الوسائل: "محمّد بن يعقوب، عن محمّد بن يحيى، عن أحمد بن محمّد، عن ابن محبوب، عن إبراهيم بن مهزم</w:t>
      </w:r>
      <w:r w:rsidRPr="002F55F2">
        <w:rPr>
          <w:rFonts w:ascii="mylotus" w:hAnsi="mylotus"/>
          <w:sz w:val="34"/>
          <w:szCs w:val="34"/>
          <w:rtl/>
        </w:rPr>
        <w:t xml:space="preserve">، </w:t>
      </w:r>
      <w:r w:rsidRPr="002F55F2">
        <w:rPr>
          <w:rFonts w:ascii="mylotus" w:hAnsi="mylotus"/>
          <w:sz w:val="34"/>
          <w:szCs w:val="34"/>
          <w:rtl/>
          <w:lang w:bidi="ar-BH"/>
        </w:rPr>
        <w:t>عن طلحة بن زيد، عن أبي عبد الله (عليه السلام) قال: "قال رسول الله (صلّى الله عليه وآله): لا يُباع الدَّين بالدَّين"</w:t>
      </w:r>
      <w:r w:rsidRPr="002F55F2">
        <w:rPr>
          <w:rFonts w:ascii="mylotus" w:hAnsi="mylotus"/>
          <w:sz w:val="34"/>
          <w:szCs w:val="34"/>
          <w:vertAlign w:val="superscript"/>
          <w:rtl/>
        </w:rPr>
        <w:t>(</w:t>
      </w:r>
      <w:r w:rsidRPr="002F55F2">
        <w:rPr>
          <w:rStyle w:val="ac"/>
          <w:rFonts w:ascii="mylotus" w:hAnsi="mylotus"/>
          <w:sz w:val="34"/>
          <w:szCs w:val="34"/>
          <w:rtl/>
        </w:rPr>
        <w:footnoteReference w:id="3"/>
      </w:r>
      <w:r w:rsidRPr="002F55F2">
        <w:rPr>
          <w:rFonts w:ascii="mylotus" w:hAnsi="mylotus"/>
          <w:sz w:val="34"/>
          <w:szCs w:val="34"/>
          <w:vertAlign w:val="superscript"/>
          <w:rtl/>
        </w:rPr>
        <w:t>)</w:t>
      </w:r>
      <w:r w:rsidRPr="002F55F2">
        <w:rPr>
          <w:rFonts w:ascii="mylotus" w:hAnsi="mylotus"/>
          <w:sz w:val="34"/>
          <w:szCs w:val="34"/>
          <w:rtl/>
          <w:lang w:bidi="ar-BH"/>
        </w:rPr>
        <w:t>.</w:t>
      </w:r>
    </w:p>
    <w:p w14:paraId="3B291864"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وطَلحة بن زيد وإن كان لم يوثَّق بعنوانه، ولكنه من مشا</w:t>
      </w:r>
      <w:r w:rsidRPr="002F55F2">
        <w:rPr>
          <w:rFonts w:ascii="mylotus" w:hAnsi="mylotus"/>
          <w:sz w:val="34"/>
          <w:szCs w:val="34"/>
          <w:rtl/>
        </w:rPr>
        <w:t>ي</w:t>
      </w:r>
      <w:r w:rsidRPr="002F55F2">
        <w:rPr>
          <w:rFonts w:ascii="mylotus" w:hAnsi="mylotus"/>
          <w:sz w:val="34"/>
          <w:szCs w:val="34"/>
          <w:rtl/>
          <w:lang w:bidi="ar-BH"/>
        </w:rPr>
        <w:t>خ صفوان، مضافا إلى أن</w:t>
      </w:r>
      <w:r w:rsidRPr="002F55F2">
        <w:rPr>
          <w:rFonts w:ascii="mylotus" w:hAnsi="mylotus"/>
          <w:sz w:val="34"/>
          <w:szCs w:val="34"/>
          <w:rtl/>
        </w:rPr>
        <w:t xml:space="preserve"> </w:t>
      </w:r>
      <w:r w:rsidRPr="002F55F2">
        <w:rPr>
          <w:rFonts w:ascii="mylotus" w:hAnsi="mylotus"/>
          <w:sz w:val="34"/>
          <w:szCs w:val="34"/>
          <w:rtl/>
          <w:lang w:bidi="ar-BH"/>
        </w:rPr>
        <w:t xml:space="preserve">كتابه معتمد كما </w:t>
      </w:r>
      <w:r w:rsidRPr="002F55F2">
        <w:rPr>
          <w:rFonts w:ascii="mylotus" w:hAnsi="mylotus"/>
          <w:sz w:val="34"/>
          <w:szCs w:val="34"/>
          <w:rtl/>
        </w:rPr>
        <w:t xml:space="preserve">عبّر </w:t>
      </w:r>
      <w:r w:rsidRPr="002F55F2">
        <w:rPr>
          <w:rFonts w:ascii="mylotus" w:hAnsi="mylotus"/>
          <w:sz w:val="34"/>
          <w:szCs w:val="34"/>
          <w:rtl/>
          <w:lang w:bidi="ar-BH"/>
        </w:rPr>
        <w:t>النجاشي، وعلى فرض التأمل في ذلك فلا</w:t>
      </w:r>
      <w:r w:rsidRPr="002F55F2">
        <w:rPr>
          <w:rFonts w:ascii="mylotus" w:hAnsi="mylotus"/>
          <w:sz w:val="34"/>
          <w:szCs w:val="34"/>
          <w:rtl/>
        </w:rPr>
        <w:t xml:space="preserve"> </w:t>
      </w:r>
      <w:r w:rsidRPr="002F55F2">
        <w:rPr>
          <w:rFonts w:ascii="mylotus" w:hAnsi="mylotus"/>
          <w:sz w:val="34"/>
          <w:szCs w:val="34"/>
          <w:rtl/>
          <w:lang w:bidi="ar-BH"/>
        </w:rPr>
        <w:t>شك في عمل المشهور بها، وعمل المشهور بالرواية</w:t>
      </w:r>
      <w:r w:rsidRPr="002F55F2">
        <w:rPr>
          <w:rFonts w:ascii="mylotus" w:hAnsi="mylotus"/>
          <w:sz w:val="34"/>
          <w:szCs w:val="34"/>
          <w:rtl/>
        </w:rPr>
        <w:t xml:space="preserve"> </w:t>
      </w:r>
      <w:r w:rsidRPr="002F55F2">
        <w:rPr>
          <w:rFonts w:ascii="mylotus" w:hAnsi="mylotus"/>
          <w:sz w:val="34"/>
          <w:szCs w:val="34"/>
          <w:rtl/>
          <w:lang w:bidi="ar-BH"/>
        </w:rPr>
        <w:t>بنحو الشهرة المطبقة</w:t>
      </w:r>
      <w:r w:rsidRPr="002F55F2">
        <w:rPr>
          <w:rFonts w:ascii="mylotus" w:hAnsi="mylotus"/>
          <w:sz w:val="34"/>
          <w:szCs w:val="34"/>
          <w:rtl/>
        </w:rPr>
        <w:t xml:space="preserve"> </w:t>
      </w:r>
      <w:r w:rsidRPr="002F55F2">
        <w:rPr>
          <w:rFonts w:ascii="mylotus" w:hAnsi="mylotus"/>
          <w:sz w:val="34"/>
          <w:szCs w:val="34"/>
          <w:rtl/>
          <w:lang w:bidi="ar-BH"/>
        </w:rPr>
        <w:t>-كما في المقام- من قرائن الوثوق بصدور الرواية.</w:t>
      </w:r>
    </w:p>
    <w:p w14:paraId="3299906B"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وقد ورد نحوه من طريق العامّة عن النبيّ (صلّى الله عليه وآله): "لا يجوز بيع الكالي بالكالي"</w:t>
      </w:r>
      <w:r w:rsidRPr="002F55F2">
        <w:rPr>
          <w:rFonts w:ascii="mylotus" w:hAnsi="mylotus"/>
          <w:sz w:val="34"/>
          <w:szCs w:val="34"/>
          <w:rtl/>
        </w:rPr>
        <w:t>،</w:t>
      </w:r>
      <w:r w:rsidRPr="002F55F2">
        <w:rPr>
          <w:rFonts w:ascii="mylotus" w:hAnsi="mylotus"/>
          <w:sz w:val="34"/>
          <w:szCs w:val="34"/>
          <w:rtl/>
          <w:lang w:bidi="ar-BH"/>
        </w:rPr>
        <w:t xml:space="preserve"> وهو التعبير الشائع في الكتب الفقهيّة بـ (بيع الكالي بالكالي) مع أنه لم يرد هذا التعبير من طرقنا، وإنّما الوارد هو (بيع الدَّين بالدَّين).</w:t>
      </w:r>
    </w:p>
    <w:p w14:paraId="4846156A" w14:textId="77777777" w:rsidR="002F55F2" w:rsidRPr="00A649BA" w:rsidRDefault="002F55F2" w:rsidP="002F55F2">
      <w:pPr>
        <w:pStyle w:val="a0"/>
        <w:bidi/>
        <w:rPr>
          <w:rFonts w:ascii="mylotus" w:hAnsi="mylotus"/>
          <w:b/>
          <w:bCs/>
          <w:sz w:val="34"/>
          <w:szCs w:val="34"/>
          <w:rtl/>
        </w:rPr>
      </w:pPr>
      <w:r w:rsidRPr="00A649BA">
        <w:rPr>
          <w:rFonts w:ascii="mylotus" w:hAnsi="mylotus"/>
          <w:b/>
          <w:bCs/>
          <w:sz w:val="34"/>
          <w:szCs w:val="34"/>
          <w:rtl/>
          <w:lang w:bidi="ar-BH"/>
        </w:rPr>
        <w:t>وفي المقام ثلاث صور يقع الكلام فيها:</w:t>
      </w:r>
    </w:p>
    <w:p w14:paraId="43B0545B" w14:textId="77777777" w:rsidR="002F55F2" w:rsidRPr="002F55F2" w:rsidRDefault="002F55F2" w:rsidP="002F55F2">
      <w:pPr>
        <w:pStyle w:val="a0"/>
        <w:bidi/>
        <w:rPr>
          <w:rFonts w:ascii="mylotus" w:hAnsi="mylotus"/>
          <w:sz w:val="34"/>
          <w:szCs w:val="34"/>
          <w:rtl/>
        </w:rPr>
      </w:pPr>
      <w:r w:rsidRPr="00A649BA">
        <w:rPr>
          <w:rFonts w:ascii="mylotus" w:hAnsi="mylotus"/>
          <w:b/>
          <w:bCs/>
          <w:sz w:val="34"/>
          <w:szCs w:val="34"/>
          <w:rtl/>
          <w:lang w:bidi="ar-BH"/>
        </w:rPr>
        <w:t>الصورة الأولى:</w:t>
      </w:r>
      <w:r w:rsidRPr="002F55F2">
        <w:rPr>
          <w:rFonts w:ascii="mylotus" w:hAnsi="mylotus"/>
          <w:sz w:val="34"/>
          <w:szCs w:val="34"/>
          <w:rtl/>
          <w:lang w:bidi="ar-BH"/>
        </w:rPr>
        <w:t xml:space="preserve"> بيع الدَّين المؤجّل بدينٍ مؤجّل</w:t>
      </w:r>
      <w:r w:rsidRPr="002F55F2">
        <w:rPr>
          <w:rFonts w:ascii="mylotus" w:hAnsi="mylotus"/>
          <w:sz w:val="34"/>
          <w:szCs w:val="34"/>
          <w:rtl/>
        </w:rPr>
        <w:t>،</w:t>
      </w:r>
      <w:r w:rsidRPr="002F55F2">
        <w:rPr>
          <w:rFonts w:ascii="mylotus" w:hAnsi="mylotus"/>
          <w:sz w:val="34"/>
          <w:szCs w:val="34"/>
          <w:rtl/>
          <w:lang w:bidi="ar-BH"/>
        </w:rPr>
        <w:t xml:space="preserve"> كما إذا كان لي دَين على زيد، فبعتُه لبكرٍ بدَينٍ له (لبكر) على عمرو</w:t>
      </w:r>
      <w:r w:rsidRPr="002F55F2">
        <w:rPr>
          <w:rFonts w:ascii="mylotus" w:hAnsi="mylotus"/>
          <w:sz w:val="34"/>
          <w:szCs w:val="34"/>
          <w:rtl/>
        </w:rPr>
        <w:t>،</w:t>
      </w:r>
      <w:r w:rsidRPr="002F55F2">
        <w:rPr>
          <w:rFonts w:ascii="mylotus" w:hAnsi="mylotus"/>
          <w:sz w:val="34"/>
          <w:szCs w:val="34"/>
          <w:rtl/>
          <w:lang w:bidi="ar-BH"/>
        </w:rPr>
        <w:t xml:space="preserve"> فكلاهما </w:t>
      </w:r>
      <w:r w:rsidRPr="002F55F2">
        <w:rPr>
          <w:rFonts w:ascii="mylotus" w:hAnsi="mylotus"/>
          <w:sz w:val="34"/>
          <w:szCs w:val="34"/>
          <w:rtl/>
        </w:rPr>
        <w:t>-</w:t>
      </w:r>
      <w:r w:rsidRPr="002F55F2">
        <w:rPr>
          <w:rFonts w:ascii="mylotus" w:hAnsi="mylotus"/>
          <w:sz w:val="34"/>
          <w:szCs w:val="34"/>
          <w:rtl/>
          <w:lang w:bidi="ar-BH"/>
        </w:rPr>
        <w:t>العوض والمعوّض</w:t>
      </w:r>
      <w:r w:rsidRPr="002F55F2">
        <w:rPr>
          <w:rFonts w:ascii="mylotus" w:hAnsi="mylotus"/>
          <w:sz w:val="34"/>
          <w:szCs w:val="34"/>
          <w:rtl/>
        </w:rPr>
        <w:t>-</w:t>
      </w:r>
      <w:r w:rsidRPr="002F55F2">
        <w:rPr>
          <w:rFonts w:ascii="mylotus" w:hAnsi="mylotus"/>
          <w:sz w:val="34"/>
          <w:szCs w:val="34"/>
          <w:rtl/>
          <w:lang w:bidi="ar-BH"/>
        </w:rPr>
        <w:t xml:space="preserve"> دَين مؤجل في رتبة سابقة على البيع</w:t>
      </w:r>
      <w:r w:rsidRPr="002F55F2">
        <w:rPr>
          <w:rFonts w:ascii="mylotus" w:hAnsi="mylotus"/>
          <w:sz w:val="34"/>
          <w:szCs w:val="34"/>
          <w:rtl/>
        </w:rPr>
        <w:t>،</w:t>
      </w:r>
      <w:r w:rsidRPr="002F55F2">
        <w:rPr>
          <w:rFonts w:ascii="mylotus" w:hAnsi="mylotus"/>
          <w:sz w:val="34"/>
          <w:szCs w:val="34"/>
          <w:rtl/>
          <w:lang w:bidi="ar-BH"/>
        </w:rPr>
        <w:t xml:space="preserve"> وهذا هو القدر المتيقّن من (بيع الدَّين بالدَّين)</w:t>
      </w:r>
      <w:r w:rsidRPr="002F55F2">
        <w:rPr>
          <w:rFonts w:ascii="mylotus" w:hAnsi="mylotus"/>
          <w:sz w:val="34"/>
          <w:szCs w:val="34"/>
          <w:rtl/>
        </w:rPr>
        <w:t xml:space="preserve"> الوارد في الرواية</w:t>
      </w:r>
      <w:r w:rsidRPr="002F55F2">
        <w:rPr>
          <w:rFonts w:ascii="mylotus" w:hAnsi="mylotus"/>
          <w:sz w:val="34"/>
          <w:szCs w:val="34"/>
          <w:rtl/>
          <w:lang w:bidi="ar-BH"/>
        </w:rPr>
        <w:t>.</w:t>
      </w:r>
    </w:p>
    <w:p w14:paraId="5EA10085"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وأمّا بيع دَينٍ مؤجّل بدَينٍ حالّ؛ كما لو</w:t>
      </w:r>
      <w:r w:rsidRPr="002F55F2">
        <w:rPr>
          <w:rFonts w:ascii="mylotus" w:hAnsi="mylotus"/>
          <w:sz w:val="34"/>
          <w:szCs w:val="34"/>
          <w:rtl/>
        </w:rPr>
        <w:t xml:space="preserve"> </w:t>
      </w:r>
      <w:r w:rsidRPr="002F55F2">
        <w:rPr>
          <w:rFonts w:ascii="mylotus" w:hAnsi="mylotus"/>
          <w:sz w:val="34"/>
          <w:szCs w:val="34"/>
          <w:rtl/>
          <w:lang w:bidi="ar-BH"/>
        </w:rPr>
        <w:t>بعت الدَّين الذي لي على زيد لبكر، بدين حال له على عمرو، فقد بنى المشهور على عدم صحّته، وعُلّل ذلك -كما نقل صاحب الحدائق (رحمه الله)- بعدم استحقاق المعوض قبل الأجل.</w:t>
      </w:r>
    </w:p>
    <w:p w14:paraId="619DE9DF"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ولكن يُلاحظ عليه: أنّ الشرط في صحّة البيع هو القدرة على تسليم المبيع أو تسلّمه في ظرفه، لا القدرة على التسليم والتسلّم في ظرف المعاملة. فإذا كان الدَّين عند حلوله مقدورًا، فلا مانع من صحّة البيع</w:t>
      </w:r>
      <w:r w:rsidRPr="002F55F2">
        <w:rPr>
          <w:rFonts w:ascii="mylotus" w:hAnsi="mylotus"/>
          <w:sz w:val="34"/>
          <w:szCs w:val="34"/>
          <w:rtl/>
        </w:rPr>
        <w:t>.</w:t>
      </w:r>
      <w:r w:rsidRPr="002F55F2">
        <w:rPr>
          <w:rFonts w:ascii="mylotus" w:hAnsi="mylotus"/>
          <w:sz w:val="34"/>
          <w:szCs w:val="34"/>
          <w:rtl/>
          <w:lang w:bidi="ar-BH"/>
        </w:rPr>
        <w:t xml:space="preserve"> نعم</w:t>
      </w:r>
      <w:r w:rsidRPr="002F55F2">
        <w:rPr>
          <w:rFonts w:ascii="mylotus" w:hAnsi="mylotus"/>
          <w:sz w:val="34"/>
          <w:szCs w:val="34"/>
          <w:rtl/>
        </w:rPr>
        <w:t>؛</w:t>
      </w:r>
      <w:r w:rsidRPr="002F55F2">
        <w:rPr>
          <w:rFonts w:ascii="mylotus" w:hAnsi="mylotus"/>
          <w:sz w:val="34"/>
          <w:szCs w:val="34"/>
          <w:rtl/>
          <w:lang w:bidi="ar-BH"/>
        </w:rPr>
        <w:t xml:space="preserve"> لو كان مشكوك القدرة على استلامه في ظرفه فقد يدخل البيع تحت عنوان الغرر، فيشمله "نهى النبي عن بيع الغرر".</w:t>
      </w:r>
    </w:p>
    <w:p w14:paraId="0221FE03" w14:textId="77777777" w:rsidR="002F55F2" w:rsidRPr="002F55F2" w:rsidRDefault="002F55F2" w:rsidP="002F55F2">
      <w:pPr>
        <w:pStyle w:val="a0"/>
        <w:bidi/>
        <w:rPr>
          <w:rFonts w:ascii="mylotus" w:hAnsi="mylotus"/>
          <w:sz w:val="34"/>
          <w:szCs w:val="34"/>
          <w:rtl/>
        </w:rPr>
      </w:pPr>
      <w:r w:rsidRPr="000744C2">
        <w:rPr>
          <w:rFonts w:ascii="mylotus" w:hAnsi="mylotus"/>
          <w:b/>
          <w:bCs/>
          <w:sz w:val="34"/>
          <w:szCs w:val="34"/>
          <w:rtl/>
          <w:lang w:bidi="ar-BH"/>
        </w:rPr>
        <w:lastRenderedPageBreak/>
        <w:t>الصورة الثانية:</w:t>
      </w:r>
      <w:r w:rsidRPr="002F55F2">
        <w:rPr>
          <w:rFonts w:ascii="mylotus" w:hAnsi="mylotus"/>
          <w:sz w:val="34"/>
          <w:szCs w:val="34"/>
          <w:rtl/>
          <w:lang w:bidi="ar-BH"/>
        </w:rPr>
        <w:t xml:space="preserve"> بيع الدَّين الحالّ بدَينٍ حالّ</w:t>
      </w:r>
      <w:r w:rsidRPr="002F55F2">
        <w:rPr>
          <w:rFonts w:ascii="mylotus" w:hAnsi="mylotus"/>
          <w:sz w:val="34"/>
          <w:szCs w:val="34"/>
          <w:rtl/>
        </w:rPr>
        <w:t>،</w:t>
      </w:r>
      <w:r w:rsidRPr="002F55F2">
        <w:rPr>
          <w:rFonts w:ascii="mylotus" w:hAnsi="mylotus"/>
          <w:sz w:val="34"/>
          <w:szCs w:val="34"/>
          <w:rtl/>
          <w:lang w:bidi="ar-BH"/>
        </w:rPr>
        <w:t xml:space="preserve"> والظاهر جوازه</w:t>
      </w:r>
      <w:r w:rsidRPr="002F55F2">
        <w:rPr>
          <w:rFonts w:ascii="mylotus" w:hAnsi="mylotus"/>
          <w:sz w:val="34"/>
          <w:szCs w:val="34"/>
          <w:rtl/>
        </w:rPr>
        <w:t>؛</w:t>
      </w:r>
      <w:r w:rsidRPr="002F55F2">
        <w:rPr>
          <w:rFonts w:ascii="mylotus" w:hAnsi="mylotus"/>
          <w:sz w:val="34"/>
          <w:szCs w:val="34"/>
          <w:rtl/>
          <w:lang w:bidi="ar-BH"/>
        </w:rPr>
        <w:t xml:space="preserve"> للعمومات. وأمّا بيع الدَّين الحالّ بمؤجّل، فلا مانع منه أيضًا</w:t>
      </w:r>
      <w:r w:rsidRPr="002F55F2">
        <w:rPr>
          <w:rFonts w:ascii="mylotus" w:hAnsi="mylotus"/>
          <w:sz w:val="34"/>
          <w:szCs w:val="34"/>
          <w:rtl/>
        </w:rPr>
        <w:t>،</w:t>
      </w:r>
      <w:r w:rsidRPr="002F55F2">
        <w:rPr>
          <w:rFonts w:ascii="mylotus" w:hAnsi="mylotus"/>
          <w:sz w:val="34"/>
          <w:szCs w:val="34"/>
          <w:rtl/>
          <w:lang w:bidi="ar-BH"/>
        </w:rPr>
        <w:t xml:space="preserve"> </w:t>
      </w:r>
      <w:r w:rsidRPr="002F55F2">
        <w:rPr>
          <w:rFonts w:ascii="mylotus" w:hAnsi="mylotus"/>
          <w:sz w:val="34"/>
          <w:szCs w:val="34"/>
          <w:rtl/>
        </w:rPr>
        <w:t>إ</w:t>
      </w:r>
      <w:r w:rsidRPr="002F55F2">
        <w:rPr>
          <w:rFonts w:ascii="mylotus" w:hAnsi="mylotus"/>
          <w:sz w:val="34"/>
          <w:szCs w:val="34"/>
          <w:rtl/>
          <w:lang w:bidi="ar-BH"/>
        </w:rPr>
        <w:t>لا دعوى أنّه غير مستحَقّ قبل حلول الأجل، وقد سبق الكلام فيه.</w:t>
      </w:r>
    </w:p>
    <w:p w14:paraId="6D1A5F13" w14:textId="77777777" w:rsidR="002F55F2" w:rsidRPr="002F55F2" w:rsidRDefault="002F55F2" w:rsidP="002F55F2">
      <w:pPr>
        <w:pStyle w:val="a0"/>
        <w:bidi/>
        <w:rPr>
          <w:rFonts w:ascii="mylotus" w:hAnsi="mylotus"/>
          <w:sz w:val="34"/>
          <w:szCs w:val="34"/>
          <w:rtl/>
        </w:rPr>
      </w:pPr>
      <w:r w:rsidRPr="000744C2">
        <w:rPr>
          <w:rFonts w:ascii="mylotus" w:hAnsi="mylotus"/>
          <w:b/>
          <w:bCs/>
          <w:sz w:val="34"/>
          <w:szCs w:val="34"/>
          <w:rtl/>
          <w:lang w:bidi="ar-BH"/>
        </w:rPr>
        <w:t>الصورة الثالثة:</w:t>
      </w:r>
      <w:r w:rsidRPr="002F55F2">
        <w:rPr>
          <w:rFonts w:ascii="mylotus" w:hAnsi="mylotus"/>
          <w:sz w:val="34"/>
          <w:szCs w:val="34"/>
          <w:rtl/>
          <w:lang w:bidi="ar-BH"/>
        </w:rPr>
        <w:t xml:space="preserve"> ما يكون دَينًا بالعقد</w:t>
      </w:r>
      <w:r w:rsidRPr="002F55F2">
        <w:rPr>
          <w:rFonts w:ascii="mylotus" w:hAnsi="mylotus"/>
          <w:sz w:val="34"/>
          <w:szCs w:val="34"/>
          <w:rtl/>
        </w:rPr>
        <w:t xml:space="preserve">، </w:t>
      </w:r>
      <w:r w:rsidRPr="002F55F2">
        <w:rPr>
          <w:rFonts w:ascii="mylotus" w:hAnsi="mylotus"/>
          <w:sz w:val="34"/>
          <w:szCs w:val="34"/>
          <w:rtl/>
          <w:lang w:bidi="ar-BH"/>
        </w:rPr>
        <w:t>لا دَينًا سابقًا على العقد. وهو محلّ البحث؛ كأن يقول: "بعتُك ألف دولار بألف يورو مؤجلين، فكلاهما صار دَينًا بالعقد.</w:t>
      </w:r>
    </w:p>
    <w:p w14:paraId="27BE5FA1"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قال صاحب مفتاح الكرامة</w:t>
      </w:r>
      <w:r w:rsidRPr="002F55F2">
        <w:rPr>
          <w:rFonts w:ascii="mylotus" w:hAnsi="mylotus"/>
          <w:sz w:val="34"/>
          <w:szCs w:val="34"/>
          <w:vertAlign w:val="superscript"/>
          <w:rtl/>
        </w:rPr>
        <w:t>(</w:t>
      </w:r>
      <w:r w:rsidRPr="002F55F2">
        <w:rPr>
          <w:rStyle w:val="ac"/>
          <w:rFonts w:ascii="mylotus" w:hAnsi="mylotus"/>
          <w:sz w:val="34"/>
          <w:szCs w:val="34"/>
          <w:rtl/>
        </w:rPr>
        <w:footnoteReference w:id="4"/>
      </w:r>
      <w:r w:rsidRPr="002F55F2">
        <w:rPr>
          <w:rFonts w:ascii="mylotus" w:hAnsi="mylotus"/>
          <w:sz w:val="34"/>
          <w:szCs w:val="34"/>
          <w:vertAlign w:val="superscript"/>
          <w:rtl/>
        </w:rPr>
        <w:t>)</w:t>
      </w:r>
      <w:r w:rsidRPr="002F55F2">
        <w:rPr>
          <w:rFonts w:ascii="mylotus" w:hAnsi="mylotus"/>
          <w:sz w:val="34"/>
          <w:szCs w:val="34"/>
          <w:rtl/>
          <w:lang w:bidi="ar-BH"/>
        </w:rPr>
        <w:t>: "الكلام يقع في مقامات؛ الأوّل: بيع الدَّين المؤجّل بعقدٍ بدَينٍ كذلك (كلاهما مؤجّل قبل العقد). الثاني: أن يكونا مؤجّلين بالعقد (لا سابقين عليه)</w:t>
      </w:r>
      <w:r w:rsidRPr="002F55F2">
        <w:rPr>
          <w:rFonts w:ascii="mylotus" w:hAnsi="mylotus"/>
          <w:sz w:val="34"/>
          <w:szCs w:val="34"/>
          <w:rtl/>
        </w:rPr>
        <w:t xml:space="preserve"> </w:t>
      </w:r>
      <w:r w:rsidRPr="002F55F2">
        <w:rPr>
          <w:rFonts w:ascii="mylotus" w:hAnsi="mylotus"/>
          <w:sz w:val="34"/>
          <w:szCs w:val="34"/>
          <w:rtl/>
          <w:lang w:bidi="ar-BH"/>
        </w:rPr>
        <w:t>"، ثم قال: "وأما الثاني، ففي مجمع البرهان (</w:t>
      </w:r>
      <w:proofErr w:type="spellStart"/>
      <w:r w:rsidRPr="002F55F2">
        <w:rPr>
          <w:rFonts w:ascii="mylotus" w:hAnsi="mylotus"/>
          <w:sz w:val="34"/>
          <w:szCs w:val="34"/>
          <w:rtl/>
          <w:lang w:bidi="ar-BH"/>
        </w:rPr>
        <w:t>للأردبيليّ</w:t>
      </w:r>
      <w:proofErr w:type="spellEnd"/>
      <w:r w:rsidRPr="002F55F2">
        <w:rPr>
          <w:rFonts w:ascii="mylotus" w:hAnsi="mylotus"/>
          <w:sz w:val="34"/>
          <w:szCs w:val="34"/>
          <w:rtl/>
          <w:lang w:bidi="ar-BH"/>
        </w:rPr>
        <w:t>) أنّ ظاهر العرف وكلام الفقهاء فساده، وأنّه كالأوّل؛ لأنّه أيضًا بيع الكالي بالكالي</w:t>
      </w:r>
      <w:r w:rsidRPr="002F55F2">
        <w:rPr>
          <w:rFonts w:ascii="mylotus" w:hAnsi="mylotus"/>
          <w:sz w:val="34"/>
          <w:szCs w:val="34"/>
          <w:rtl/>
        </w:rPr>
        <w:t>،</w:t>
      </w:r>
      <w:r w:rsidRPr="002F55F2">
        <w:rPr>
          <w:rFonts w:ascii="mylotus" w:hAnsi="mylotus"/>
          <w:sz w:val="34"/>
          <w:szCs w:val="34"/>
          <w:rtl/>
          <w:lang w:bidi="ar-BH"/>
        </w:rPr>
        <w:t xml:space="preserve"> ثم احتمل (</w:t>
      </w:r>
      <w:proofErr w:type="spellStart"/>
      <w:r w:rsidRPr="002F55F2">
        <w:rPr>
          <w:rFonts w:ascii="mylotus" w:hAnsi="mylotus"/>
          <w:sz w:val="34"/>
          <w:szCs w:val="34"/>
          <w:rtl/>
          <w:lang w:bidi="ar-BH"/>
        </w:rPr>
        <w:t>الأردبيليّ</w:t>
      </w:r>
      <w:proofErr w:type="spellEnd"/>
      <w:r w:rsidRPr="002F55F2">
        <w:rPr>
          <w:rFonts w:ascii="mylotus" w:hAnsi="mylotus"/>
          <w:sz w:val="34"/>
          <w:szCs w:val="34"/>
          <w:rtl/>
          <w:lang w:bidi="ar-BH"/>
        </w:rPr>
        <w:t xml:space="preserve">) قصره على الأوّل (ما كان دَينًا قبل العقد)؛ لأنّه المتبادر من بيع الكالي بالكالي، وأيّده بالأصل مع عدم العلم بالإطلاق عرفا </w:t>
      </w:r>
      <w:proofErr w:type="spellStart"/>
      <w:r w:rsidRPr="002F55F2">
        <w:rPr>
          <w:rFonts w:ascii="mylotus" w:hAnsi="mylotus"/>
          <w:sz w:val="34"/>
          <w:szCs w:val="34"/>
          <w:rtl/>
          <w:lang w:bidi="ar-BH"/>
        </w:rPr>
        <w:t>وبالعمومات</w:t>
      </w:r>
      <w:proofErr w:type="spellEnd"/>
      <w:r w:rsidRPr="002F55F2">
        <w:rPr>
          <w:rFonts w:ascii="mylotus" w:hAnsi="mylotus"/>
          <w:sz w:val="34"/>
          <w:szCs w:val="34"/>
          <w:rtl/>
          <w:lang w:bidi="ar-BH"/>
        </w:rPr>
        <w:t>، مع أن سند روايتي المنع غير معلوم الصحة، لأن الأولى عامية والثانية ضعيفة بطلحة بن زيد البكري، فيقتصر على مورد اليقين"</w:t>
      </w:r>
      <w:r w:rsidRPr="002F55F2">
        <w:rPr>
          <w:rFonts w:ascii="mylotus" w:hAnsi="mylotus"/>
          <w:sz w:val="34"/>
          <w:szCs w:val="34"/>
          <w:rtl/>
        </w:rPr>
        <w:t>،</w:t>
      </w:r>
      <w:r w:rsidRPr="002F55F2">
        <w:rPr>
          <w:rFonts w:ascii="mylotus" w:hAnsi="mylotus"/>
          <w:sz w:val="34"/>
          <w:szCs w:val="34"/>
          <w:rtl/>
          <w:lang w:bidi="ar-BH"/>
        </w:rPr>
        <w:t xml:space="preserve"> </w:t>
      </w:r>
      <w:r w:rsidRPr="002F55F2">
        <w:rPr>
          <w:rFonts w:ascii="mylotus" w:hAnsi="mylotus"/>
          <w:sz w:val="34"/>
          <w:szCs w:val="34"/>
          <w:rtl/>
        </w:rPr>
        <w:t>ثم قال:</w:t>
      </w:r>
      <w:r w:rsidRPr="002F55F2">
        <w:rPr>
          <w:rFonts w:ascii="mylotus" w:hAnsi="mylotus"/>
          <w:sz w:val="34"/>
          <w:szCs w:val="34"/>
          <w:rtl/>
          <w:lang w:bidi="ar-BH"/>
        </w:rPr>
        <w:t xml:space="preserve"> "</w:t>
      </w:r>
      <w:r w:rsidRPr="002F55F2">
        <w:rPr>
          <w:rFonts w:ascii="mylotus" w:hAnsi="mylotus"/>
          <w:sz w:val="34"/>
          <w:szCs w:val="34"/>
          <w:rtl/>
        </w:rPr>
        <w:t xml:space="preserve">بل </w:t>
      </w:r>
      <w:r w:rsidRPr="002F55F2">
        <w:rPr>
          <w:rFonts w:ascii="mylotus" w:hAnsi="mylotus"/>
          <w:sz w:val="34"/>
          <w:szCs w:val="34"/>
          <w:rtl/>
          <w:lang w:bidi="ar-BH"/>
        </w:rPr>
        <w:t xml:space="preserve">صرح في النهاية والسرائر والمختلف والدروس واللمعة وحواشي الكتاب وجامع المقاصد الروضة ببطلان البيع </w:t>
      </w:r>
      <w:r w:rsidRPr="002F55F2">
        <w:rPr>
          <w:rFonts w:ascii="mylotus" w:hAnsi="mylotus"/>
          <w:sz w:val="34"/>
          <w:szCs w:val="34"/>
          <w:rtl/>
        </w:rPr>
        <w:t xml:space="preserve">فيما إذا جعل ثمن المسلف فيه دينا يستحقه في ذمة البائع، </w:t>
      </w:r>
      <w:r w:rsidRPr="002F55F2">
        <w:rPr>
          <w:rFonts w:ascii="mylotus" w:hAnsi="mylotus"/>
          <w:sz w:val="34"/>
          <w:szCs w:val="34"/>
          <w:rtl/>
          <w:lang w:bidi="ar-BH"/>
        </w:rPr>
        <w:t>وهو الأقرب إلى الصحة"</w:t>
      </w:r>
      <w:r w:rsidRPr="002F55F2">
        <w:rPr>
          <w:rFonts w:ascii="mylotus" w:hAnsi="mylotus"/>
          <w:sz w:val="34"/>
          <w:szCs w:val="34"/>
          <w:rtl/>
        </w:rPr>
        <w:t>، ثم قال: "</w:t>
      </w:r>
      <w:r w:rsidRPr="002F55F2">
        <w:rPr>
          <w:rFonts w:ascii="mylotus" w:hAnsi="mylotus"/>
          <w:sz w:val="34"/>
          <w:szCs w:val="34"/>
          <w:rtl/>
          <w:lang w:bidi="ar-BH"/>
        </w:rPr>
        <w:t xml:space="preserve">ومبنى </w:t>
      </w:r>
      <w:r w:rsidRPr="002F55F2">
        <w:rPr>
          <w:rFonts w:ascii="mylotus" w:hAnsi="mylotus"/>
          <w:sz w:val="34"/>
          <w:szCs w:val="34"/>
          <w:rtl/>
        </w:rPr>
        <w:t xml:space="preserve">الكلام في مسـألتنا </w:t>
      </w:r>
      <w:r w:rsidRPr="002F55F2">
        <w:rPr>
          <w:rFonts w:ascii="mylotus" w:hAnsi="mylotus"/>
          <w:sz w:val="34"/>
          <w:szCs w:val="34"/>
          <w:rtl/>
          <w:lang w:bidi="ar-BH"/>
        </w:rPr>
        <w:t xml:space="preserve">يتوقّف على بيان المراد من الدَّين </w:t>
      </w:r>
      <w:r w:rsidRPr="002F55F2">
        <w:rPr>
          <w:rFonts w:ascii="mylotus" w:hAnsi="mylotus"/>
          <w:sz w:val="34"/>
          <w:szCs w:val="34"/>
          <w:rtl/>
        </w:rPr>
        <w:t>ب</w:t>
      </w:r>
      <w:r w:rsidRPr="002F55F2">
        <w:rPr>
          <w:rFonts w:ascii="mylotus" w:hAnsi="mylotus"/>
          <w:sz w:val="34"/>
          <w:szCs w:val="34"/>
          <w:rtl/>
          <w:lang w:bidi="ar-BH"/>
        </w:rPr>
        <w:t xml:space="preserve">بيع الدين بالدين الذي نهي عنه في الخبر </w:t>
      </w:r>
      <w:r w:rsidRPr="002F55F2">
        <w:rPr>
          <w:rFonts w:ascii="mylotus" w:hAnsi="mylotus"/>
          <w:sz w:val="34"/>
          <w:szCs w:val="34"/>
          <w:rtl/>
        </w:rPr>
        <w:t xml:space="preserve">وانعقد الإجماع عليه، </w:t>
      </w:r>
      <w:r w:rsidRPr="002F55F2">
        <w:rPr>
          <w:rFonts w:ascii="mylotus" w:hAnsi="mylotus"/>
          <w:sz w:val="34"/>
          <w:szCs w:val="34"/>
          <w:rtl/>
          <w:lang w:bidi="ar-BH"/>
        </w:rPr>
        <w:t>، فهل يختصّ بما كان دَين</w:t>
      </w:r>
      <w:r w:rsidRPr="002F55F2">
        <w:rPr>
          <w:rFonts w:ascii="mylotus" w:hAnsi="mylotus"/>
          <w:sz w:val="34"/>
          <w:szCs w:val="34"/>
          <w:rtl/>
        </w:rPr>
        <w:t>ً</w:t>
      </w:r>
      <w:r w:rsidRPr="002F55F2">
        <w:rPr>
          <w:rFonts w:ascii="mylotus" w:hAnsi="mylotus"/>
          <w:sz w:val="34"/>
          <w:szCs w:val="34"/>
          <w:rtl/>
          <w:lang w:bidi="ar-BH"/>
        </w:rPr>
        <w:t>ا قبل العقد، أو يشمل ما صار دَينًا بسبب العقد؟ والمشهور بل المجمع عليه هو الثاني</w:t>
      </w:r>
      <w:r w:rsidRPr="002F55F2">
        <w:rPr>
          <w:rFonts w:ascii="mylotus" w:hAnsi="mylotus"/>
          <w:sz w:val="34"/>
          <w:szCs w:val="34"/>
          <w:rtl/>
        </w:rPr>
        <w:t>"،</w:t>
      </w:r>
      <w:r w:rsidRPr="002F55F2">
        <w:rPr>
          <w:rFonts w:ascii="mylotus" w:hAnsi="mylotus"/>
          <w:sz w:val="34"/>
          <w:szCs w:val="34"/>
          <w:rtl/>
          <w:lang w:bidi="ar-BH"/>
        </w:rPr>
        <w:t xml:space="preserve"> </w:t>
      </w:r>
      <w:r w:rsidRPr="002F55F2">
        <w:rPr>
          <w:rFonts w:ascii="mylotus" w:hAnsi="mylotus"/>
          <w:sz w:val="34"/>
          <w:szCs w:val="34"/>
          <w:rtl/>
        </w:rPr>
        <w:t xml:space="preserve">وهو </w:t>
      </w:r>
      <w:r w:rsidRPr="002F55F2">
        <w:rPr>
          <w:rFonts w:ascii="mylotus" w:hAnsi="mylotus"/>
          <w:sz w:val="34"/>
          <w:szCs w:val="34"/>
          <w:rtl/>
          <w:lang w:bidi="ar-BH"/>
        </w:rPr>
        <w:t xml:space="preserve">كما ذكر سيدنا الخوئي </w:t>
      </w:r>
      <w:r w:rsidRPr="002F55F2">
        <w:rPr>
          <w:rFonts w:ascii="mylotus" w:hAnsi="mylotus"/>
          <w:sz w:val="34"/>
          <w:szCs w:val="34"/>
          <w:rtl/>
        </w:rPr>
        <w:t>(</w:t>
      </w:r>
      <w:r w:rsidRPr="002F55F2">
        <w:rPr>
          <w:rFonts w:ascii="mylotus" w:hAnsi="mylotus"/>
          <w:sz w:val="34"/>
          <w:szCs w:val="34"/>
          <w:rtl/>
          <w:lang w:bidi="ar-BH"/>
        </w:rPr>
        <w:t>قد</w:t>
      </w:r>
      <w:r w:rsidRPr="002F55F2">
        <w:rPr>
          <w:rFonts w:ascii="mylotus" w:hAnsi="mylotus"/>
          <w:sz w:val="34"/>
          <w:szCs w:val="34"/>
          <w:rtl/>
        </w:rPr>
        <w:t>س سر</w:t>
      </w:r>
      <w:r w:rsidRPr="002F55F2">
        <w:rPr>
          <w:rFonts w:ascii="mylotus" w:hAnsi="mylotus"/>
          <w:sz w:val="34"/>
          <w:szCs w:val="34"/>
          <w:rtl/>
          <w:lang w:bidi="ar-BH"/>
        </w:rPr>
        <w:t>ه</w:t>
      </w:r>
      <w:r w:rsidRPr="002F55F2">
        <w:rPr>
          <w:rFonts w:ascii="mylotus" w:hAnsi="mylotus"/>
          <w:sz w:val="34"/>
          <w:szCs w:val="34"/>
          <w:rtl/>
        </w:rPr>
        <w:t>)، ثم قال: "</w:t>
      </w:r>
      <w:r w:rsidRPr="002F55F2">
        <w:rPr>
          <w:rFonts w:ascii="mylotus" w:hAnsi="mylotus"/>
          <w:sz w:val="34"/>
          <w:szCs w:val="34"/>
          <w:rtl/>
          <w:lang w:bidi="ar-BH"/>
        </w:rPr>
        <w:t xml:space="preserve">ومما ذكر يعلم حال ما ذكره الشهيد الثاني في كتابيه </w:t>
      </w:r>
      <w:r w:rsidRPr="002F55F2">
        <w:rPr>
          <w:rFonts w:ascii="mylotus" w:hAnsi="mylotus"/>
          <w:sz w:val="34"/>
          <w:szCs w:val="34"/>
          <w:rtl/>
        </w:rPr>
        <w:t xml:space="preserve">(مسالك الأفهام والروضة البهية) </w:t>
      </w:r>
      <w:r w:rsidRPr="002F55F2">
        <w:rPr>
          <w:rFonts w:ascii="mylotus" w:hAnsi="mylotus"/>
          <w:sz w:val="34"/>
          <w:szCs w:val="34"/>
          <w:rtl/>
          <w:lang w:bidi="ar-BH"/>
        </w:rPr>
        <w:t xml:space="preserve">من أنّ الدَّين الممنوع منه ما كان عوضًا حال كونه دَينًا، بمقتضى </w:t>
      </w:r>
      <w:r w:rsidRPr="002F55F2">
        <w:rPr>
          <w:rFonts w:ascii="mylotus" w:hAnsi="mylotus"/>
          <w:sz w:val="34"/>
          <w:szCs w:val="34"/>
          <w:rtl/>
        </w:rPr>
        <w:t xml:space="preserve">تعلّق </w:t>
      </w:r>
      <w:r w:rsidRPr="002F55F2">
        <w:rPr>
          <w:rFonts w:ascii="mylotus" w:hAnsi="mylotus"/>
          <w:sz w:val="34"/>
          <w:szCs w:val="34"/>
          <w:rtl/>
          <w:lang w:bidi="ar-BH"/>
        </w:rPr>
        <w:t>الباء</w:t>
      </w:r>
      <w:r w:rsidRPr="002F55F2">
        <w:rPr>
          <w:rFonts w:ascii="mylotus" w:hAnsi="mylotus"/>
          <w:sz w:val="34"/>
          <w:szCs w:val="34"/>
          <w:rtl/>
        </w:rPr>
        <w:t>"</w:t>
      </w:r>
      <w:r w:rsidRPr="002F55F2">
        <w:rPr>
          <w:rFonts w:ascii="mylotus" w:hAnsi="mylotus"/>
          <w:sz w:val="34"/>
          <w:szCs w:val="34"/>
          <w:rtl/>
          <w:lang w:bidi="ar-BH"/>
        </w:rPr>
        <w:t xml:space="preserve">، لا ما صار دَينًا ببركة كونه عوضًا، فإنه لم يتحقّق بيع الدَّين به، </w:t>
      </w:r>
      <w:r w:rsidRPr="002F55F2">
        <w:rPr>
          <w:rFonts w:ascii="mylotus" w:hAnsi="mylotus"/>
          <w:sz w:val="34"/>
          <w:szCs w:val="34"/>
          <w:rtl/>
        </w:rPr>
        <w:t xml:space="preserve">ولذا قال: </w:t>
      </w:r>
      <w:r w:rsidRPr="002F55F2">
        <w:rPr>
          <w:rFonts w:ascii="mylotus" w:hAnsi="mylotus"/>
          <w:sz w:val="34"/>
          <w:szCs w:val="34"/>
          <w:rtl/>
          <w:lang w:bidi="ar-BH"/>
        </w:rPr>
        <w:t>"</w:t>
      </w:r>
      <w:r w:rsidRPr="002F55F2">
        <w:rPr>
          <w:rFonts w:ascii="mylotus" w:hAnsi="mylotus"/>
          <w:sz w:val="34"/>
          <w:szCs w:val="34"/>
          <w:rtl/>
        </w:rPr>
        <w:t xml:space="preserve">والمضمون عند العقد ليس بدين، وإنما يصير دينًا بعده، فلم يتحقق بيع الدين به، </w:t>
      </w:r>
      <w:r w:rsidRPr="002F55F2">
        <w:rPr>
          <w:rFonts w:ascii="mylotus" w:hAnsi="mylotus"/>
          <w:sz w:val="34"/>
          <w:szCs w:val="34"/>
          <w:rtl/>
          <w:lang w:bidi="ar-BH"/>
        </w:rPr>
        <w:t>ولأنه يلزم مثله في بيعه بحالٍّ".</w:t>
      </w:r>
    </w:p>
    <w:p w14:paraId="4D677A7B" w14:textId="00FDF3BC"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 xml:space="preserve">وناقش صاحب مفتاح الكرامة الشهيد الثاني بقوله: "قلت: والفرق بينه وبين الحالّ أنّه مع اشتراط التأجيل وذكره (أي الشرط) في العقد يصدق أنّه بيع دَين </w:t>
      </w:r>
      <w:r w:rsidRPr="002F55F2">
        <w:rPr>
          <w:rFonts w:ascii="mylotus" w:hAnsi="mylotus"/>
          <w:sz w:val="34"/>
          <w:szCs w:val="34"/>
          <w:rtl/>
        </w:rPr>
        <w:t>بمثله (أي بدين)</w:t>
      </w:r>
      <w:r w:rsidR="00B11E0D">
        <w:rPr>
          <w:rFonts w:ascii="mylotus" w:hAnsi="mylotus"/>
          <w:sz w:val="34"/>
          <w:szCs w:val="34"/>
          <w:rtl/>
          <w:lang w:bidi="ar-BH"/>
        </w:rPr>
        <w:t>؛ أمّا بعد العقد</w:t>
      </w:r>
      <w:bookmarkStart w:id="0" w:name="_GoBack"/>
      <w:bookmarkEnd w:id="0"/>
      <w:r w:rsidRPr="002F55F2">
        <w:rPr>
          <w:rFonts w:ascii="mylotus" w:hAnsi="mylotus"/>
          <w:sz w:val="34"/>
          <w:szCs w:val="34"/>
          <w:rtl/>
          <w:lang w:bidi="ar-BH"/>
        </w:rPr>
        <w:t xml:space="preserve"> فواضح، وأمّا في أثنائه فلأنّ الشرط كالجزء من العقد، وترتّب الحكم من الصحّة والفساد إنما يتوقّف </w:t>
      </w:r>
      <w:r w:rsidRPr="002F55F2">
        <w:rPr>
          <w:rFonts w:ascii="mylotus" w:hAnsi="mylotus"/>
          <w:sz w:val="34"/>
          <w:szCs w:val="34"/>
          <w:rtl/>
          <w:lang w:bidi="ar-BH"/>
        </w:rPr>
        <w:lastRenderedPageBreak/>
        <w:t xml:space="preserve">على تمامه، </w:t>
      </w:r>
      <w:r w:rsidRPr="002F55F2">
        <w:rPr>
          <w:rFonts w:ascii="mylotus" w:hAnsi="mylotus"/>
          <w:sz w:val="34"/>
          <w:szCs w:val="34"/>
          <w:rtl/>
        </w:rPr>
        <w:t>(</w:t>
      </w:r>
      <w:r w:rsidRPr="002F55F2">
        <w:rPr>
          <w:rFonts w:ascii="mylotus" w:hAnsi="mylotus"/>
          <w:sz w:val="34"/>
          <w:szCs w:val="34"/>
          <w:rtl/>
          <w:lang w:bidi="ar-BH"/>
        </w:rPr>
        <w:t xml:space="preserve">وبعد </w:t>
      </w:r>
      <w:proofErr w:type="spellStart"/>
      <w:r w:rsidRPr="002F55F2">
        <w:rPr>
          <w:rFonts w:ascii="mylotus" w:hAnsi="mylotus"/>
          <w:sz w:val="34"/>
          <w:szCs w:val="34"/>
          <w:rtl/>
          <w:lang w:bidi="ar-BH"/>
        </w:rPr>
        <w:t>تماميته</w:t>
      </w:r>
      <w:proofErr w:type="spellEnd"/>
      <w:r w:rsidRPr="002F55F2">
        <w:rPr>
          <w:rFonts w:ascii="mylotus" w:hAnsi="mylotus"/>
          <w:sz w:val="34"/>
          <w:szCs w:val="34"/>
          <w:rtl/>
          <w:lang w:bidi="ar-BH"/>
        </w:rPr>
        <w:t xml:space="preserve"> يصدق أنّه دَين بدَين</w:t>
      </w:r>
      <w:r w:rsidRPr="002F55F2">
        <w:rPr>
          <w:rFonts w:ascii="mylotus" w:hAnsi="mylotus"/>
          <w:sz w:val="34"/>
          <w:szCs w:val="34"/>
          <w:rtl/>
        </w:rPr>
        <w:t>)</w:t>
      </w:r>
      <w:r w:rsidRPr="002F55F2">
        <w:rPr>
          <w:rFonts w:ascii="mylotus" w:hAnsi="mylotus"/>
          <w:sz w:val="34"/>
          <w:szCs w:val="34"/>
          <w:rtl/>
          <w:lang w:bidi="ar-BH"/>
        </w:rPr>
        <w:t>، فإطلاق اسم الدين عليه في أثناء العقد وبعده حقيقي، بخلاف الحال (إذ كان دين</w:t>
      </w:r>
      <w:r w:rsidRPr="002F55F2">
        <w:rPr>
          <w:rFonts w:ascii="mylotus" w:hAnsi="mylotus"/>
          <w:sz w:val="34"/>
          <w:szCs w:val="34"/>
          <w:rtl/>
        </w:rPr>
        <w:t>ًا</w:t>
      </w:r>
      <w:r w:rsidRPr="002F55F2">
        <w:rPr>
          <w:rFonts w:ascii="mylotus" w:hAnsi="mylotus"/>
          <w:sz w:val="34"/>
          <w:szCs w:val="34"/>
          <w:rtl/>
          <w:lang w:bidi="ar-BH"/>
        </w:rPr>
        <w:t xml:space="preserve"> وقد حل أجله) فإنه إن صح إطلاق الدين عليه في صورة الإمهال فمجاز".</w:t>
      </w:r>
    </w:p>
    <w:p w14:paraId="15D2961B" w14:textId="77777777" w:rsidR="002F55F2" w:rsidRPr="002F55F2" w:rsidRDefault="002F55F2" w:rsidP="002F55F2">
      <w:pPr>
        <w:pStyle w:val="a0"/>
        <w:bidi/>
        <w:rPr>
          <w:rFonts w:ascii="mylotus" w:hAnsi="mylotus"/>
          <w:sz w:val="34"/>
          <w:szCs w:val="34"/>
          <w:rtl/>
        </w:rPr>
      </w:pPr>
      <w:r w:rsidRPr="00A649BA">
        <w:rPr>
          <w:rFonts w:ascii="mylotus" w:hAnsi="mylotus"/>
          <w:b/>
          <w:bCs/>
          <w:sz w:val="34"/>
          <w:szCs w:val="34"/>
          <w:rtl/>
          <w:lang w:bidi="ar-BH"/>
        </w:rPr>
        <w:t>أقول:</w:t>
      </w:r>
      <w:r w:rsidRPr="002F55F2">
        <w:rPr>
          <w:rFonts w:ascii="mylotus" w:hAnsi="mylotus"/>
          <w:sz w:val="34"/>
          <w:szCs w:val="34"/>
          <w:rtl/>
          <w:lang w:bidi="ar-BH"/>
        </w:rPr>
        <w:t xml:space="preserve"> إن كان عنوان الدين عرفا متقوما بالكلية مقابل الجزئية</w:t>
      </w:r>
      <w:r w:rsidRPr="002F55F2">
        <w:rPr>
          <w:rFonts w:ascii="mylotus" w:hAnsi="mylotus"/>
          <w:sz w:val="34"/>
          <w:szCs w:val="34"/>
          <w:rtl/>
        </w:rPr>
        <w:t>،</w:t>
      </w:r>
      <w:r w:rsidRPr="002F55F2">
        <w:rPr>
          <w:rFonts w:ascii="mylotus" w:hAnsi="mylotus"/>
          <w:sz w:val="34"/>
          <w:szCs w:val="34"/>
          <w:rtl/>
          <w:lang w:bidi="ar-BH"/>
        </w:rPr>
        <w:t xml:space="preserve"> أو كان متقوما بالتأجيل فالدين ما</w:t>
      </w:r>
      <w:r w:rsidRPr="002F55F2">
        <w:rPr>
          <w:rFonts w:ascii="mylotus" w:hAnsi="mylotus"/>
          <w:sz w:val="34"/>
          <w:szCs w:val="34"/>
          <w:rtl/>
        </w:rPr>
        <w:t xml:space="preserve"> </w:t>
      </w:r>
      <w:r w:rsidRPr="002F55F2">
        <w:rPr>
          <w:rFonts w:ascii="mylotus" w:hAnsi="mylotus"/>
          <w:sz w:val="34"/>
          <w:szCs w:val="34"/>
          <w:rtl/>
          <w:lang w:bidi="ar-BH"/>
        </w:rPr>
        <w:t>كان مؤجلا</w:t>
      </w:r>
      <w:r w:rsidRPr="002F55F2">
        <w:rPr>
          <w:rFonts w:ascii="mylotus" w:hAnsi="mylotus"/>
          <w:sz w:val="34"/>
          <w:szCs w:val="34"/>
          <w:rtl/>
        </w:rPr>
        <w:t>،</w:t>
      </w:r>
      <w:r w:rsidRPr="002F55F2">
        <w:rPr>
          <w:rFonts w:ascii="mylotus" w:hAnsi="mylotus"/>
          <w:sz w:val="34"/>
          <w:szCs w:val="34"/>
          <w:rtl/>
          <w:lang w:bidi="ar-BH"/>
        </w:rPr>
        <w:t xml:space="preserve"> </w:t>
      </w:r>
      <w:r w:rsidRPr="002F55F2">
        <w:rPr>
          <w:rFonts w:ascii="mylotus" w:hAnsi="mylotus"/>
          <w:sz w:val="34"/>
          <w:szCs w:val="34"/>
          <w:rtl/>
        </w:rPr>
        <w:t>في</w:t>
      </w:r>
      <w:r w:rsidRPr="002F55F2">
        <w:rPr>
          <w:rFonts w:ascii="mylotus" w:hAnsi="mylotus"/>
          <w:sz w:val="34"/>
          <w:szCs w:val="34"/>
          <w:rtl/>
          <w:lang w:bidi="ar-BH"/>
        </w:rPr>
        <w:t xml:space="preserve">شمل </w:t>
      </w:r>
      <w:r w:rsidRPr="002F55F2">
        <w:rPr>
          <w:rFonts w:ascii="mylotus" w:hAnsi="mylotus"/>
          <w:sz w:val="34"/>
          <w:szCs w:val="34"/>
          <w:rtl/>
        </w:rPr>
        <w:t>"</w:t>
      </w:r>
      <w:r w:rsidRPr="002F55F2">
        <w:rPr>
          <w:rFonts w:ascii="mylotus" w:hAnsi="mylotus"/>
          <w:sz w:val="34"/>
          <w:szCs w:val="34"/>
          <w:rtl/>
          <w:lang w:bidi="ar-BH"/>
        </w:rPr>
        <w:t xml:space="preserve">نهى النبي </w:t>
      </w:r>
      <w:r w:rsidRPr="002F55F2">
        <w:rPr>
          <w:rFonts w:ascii="mylotus" w:hAnsi="mylotus"/>
          <w:sz w:val="34"/>
          <w:szCs w:val="34"/>
          <w:rtl/>
        </w:rPr>
        <w:t>(</w:t>
      </w:r>
      <w:r w:rsidRPr="002F55F2">
        <w:rPr>
          <w:rFonts w:ascii="mylotus" w:hAnsi="mylotus"/>
          <w:sz w:val="34"/>
          <w:szCs w:val="34"/>
          <w:rtl/>
          <w:lang w:bidi="ar-BH"/>
        </w:rPr>
        <w:t>ص</w:t>
      </w:r>
      <w:proofErr w:type="spellStart"/>
      <w:r w:rsidRPr="002F55F2">
        <w:rPr>
          <w:rFonts w:ascii="mylotus" w:hAnsi="mylotus"/>
          <w:sz w:val="34"/>
          <w:szCs w:val="34"/>
          <w:rtl/>
        </w:rPr>
        <w:t>لى</w:t>
      </w:r>
      <w:proofErr w:type="spellEnd"/>
      <w:r w:rsidRPr="002F55F2">
        <w:rPr>
          <w:rFonts w:ascii="mylotus" w:hAnsi="mylotus"/>
          <w:sz w:val="34"/>
          <w:szCs w:val="34"/>
          <w:rtl/>
        </w:rPr>
        <w:t xml:space="preserve"> الله عليه وآله)</w:t>
      </w:r>
      <w:r w:rsidRPr="002F55F2">
        <w:rPr>
          <w:rFonts w:ascii="mylotus" w:hAnsi="mylotus"/>
          <w:sz w:val="34"/>
          <w:szCs w:val="34"/>
          <w:rtl/>
          <w:lang w:bidi="ar-BH"/>
        </w:rPr>
        <w:t xml:space="preserve"> عن بيع الدين بالدين</w:t>
      </w:r>
      <w:r w:rsidRPr="002F55F2">
        <w:rPr>
          <w:rFonts w:ascii="mylotus" w:hAnsi="mylotus"/>
          <w:sz w:val="34"/>
          <w:szCs w:val="34"/>
          <w:rtl/>
        </w:rPr>
        <w:t>"</w:t>
      </w:r>
      <w:r w:rsidRPr="002F55F2">
        <w:rPr>
          <w:rFonts w:ascii="mylotus" w:hAnsi="mylotus"/>
          <w:sz w:val="34"/>
          <w:szCs w:val="34"/>
          <w:rtl/>
          <w:lang w:bidi="ar-BH"/>
        </w:rPr>
        <w:t xml:space="preserve"> ما</w:t>
      </w:r>
      <w:r w:rsidRPr="002F55F2">
        <w:rPr>
          <w:rFonts w:ascii="mylotus" w:hAnsi="mylotus"/>
          <w:sz w:val="34"/>
          <w:szCs w:val="34"/>
          <w:rtl/>
        </w:rPr>
        <w:t xml:space="preserve"> </w:t>
      </w:r>
      <w:r w:rsidRPr="002F55F2">
        <w:rPr>
          <w:rFonts w:ascii="mylotus" w:hAnsi="mylotus"/>
          <w:sz w:val="34"/>
          <w:szCs w:val="34"/>
          <w:rtl/>
          <w:lang w:bidi="ar-BH"/>
        </w:rPr>
        <w:t>كان دينا بالعقد</w:t>
      </w:r>
      <w:r w:rsidRPr="002F55F2">
        <w:rPr>
          <w:rFonts w:ascii="mylotus" w:hAnsi="mylotus"/>
          <w:sz w:val="34"/>
          <w:szCs w:val="34"/>
          <w:rtl/>
        </w:rPr>
        <w:t>.</w:t>
      </w:r>
      <w:r w:rsidRPr="002F55F2">
        <w:rPr>
          <w:rFonts w:ascii="mylotus" w:hAnsi="mylotus"/>
          <w:sz w:val="34"/>
          <w:szCs w:val="34"/>
          <w:rtl/>
          <w:lang w:bidi="ar-BH"/>
        </w:rPr>
        <w:t xml:space="preserve"> وأما إذا كان عنوان الدين متقوما بالذمة والأجل بحسب النظر العرفي لم يشمله النهي، والصحيح ما ذكره الشهيد الثاني؛ من أنّ ظاهر قوله</w:t>
      </w:r>
      <w:r w:rsidRPr="002F55F2">
        <w:rPr>
          <w:rFonts w:ascii="mylotus" w:hAnsi="mylotus"/>
          <w:sz w:val="34"/>
          <w:szCs w:val="34"/>
          <w:rtl/>
        </w:rPr>
        <w:t>:</w:t>
      </w:r>
      <w:r w:rsidRPr="002F55F2">
        <w:rPr>
          <w:rFonts w:ascii="mylotus" w:hAnsi="mylotus"/>
          <w:sz w:val="34"/>
          <w:szCs w:val="34"/>
          <w:rtl/>
          <w:lang w:bidi="ar-BH"/>
        </w:rPr>
        <w:t xml:space="preserve"> "نهى النبيّ </w:t>
      </w:r>
      <w:r w:rsidRPr="002F55F2">
        <w:rPr>
          <w:rFonts w:ascii="mylotus" w:hAnsi="mylotus"/>
          <w:sz w:val="34"/>
          <w:szCs w:val="34"/>
          <w:rtl/>
        </w:rPr>
        <w:t>(</w:t>
      </w:r>
      <w:r w:rsidRPr="002F55F2">
        <w:rPr>
          <w:rFonts w:ascii="mylotus" w:hAnsi="mylotus"/>
          <w:sz w:val="34"/>
          <w:szCs w:val="34"/>
          <w:rtl/>
          <w:lang w:bidi="ar-BH"/>
        </w:rPr>
        <w:t>ص</w:t>
      </w:r>
      <w:proofErr w:type="spellStart"/>
      <w:r w:rsidRPr="002F55F2">
        <w:rPr>
          <w:rFonts w:ascii="mylotus" w:hAnsi="mylotus"/>
          <w:sz w:val="34"/>
          <w:szCs w:val="34"/>
          <w:rtl/>
        </w:rPr>
        <w:t>لى</w:t>
      </w:r>
      <w:proofErr w:type="spellEnd"/>
      <w:r w:rsidRPr="002F55F2">
        <w:rPr>
          <w:rFonts w:ascii="mylotus" w:hAnsi="mylotus"/>
          <w:sz w:val="34"/>
          <w:szCs w:val="34"/>
          <w:rtl/>
        </w:rPr>
        <w:t xml:space="preserve"> الله عليه وآله)</w:t>
      </w:r>
      <w:r w:rsidRPr="002F55F2">
        <w:rPr>
          <w:rFonts w:ascii="mylotus" w:hAnsi="mylotus"/>
          <w:sz w:val="34"/>
          <w:szCs w:val="34"/>
          <w:rtl/>
          <w:lang w:bidi="ar-BH"/>
        </w:rPr>
        <w:t xml:space="preserve"> عن بيع الدَّين بالدَّين" هو الدَّين الذمي حين المبايعة والمبادلة، لا في رتبة لاحقة. والمفروض أنّه حين تحقّق المبايعة</w:t>
      </w:r>
      <w:r w:rsidRPr="002F55F2">
        <w:rPr>
          <w:rFonts w:ascii="mylotus" w:hAnsi="mylotus"/>
          <w:sz w:val="34"/>
          <w:szCs w:val="34"/>
          <w:rtl/>
        </w:rPr>
        <w:t xml:space="preserve"> </w:t>
      </w:r>
      <w:r w:rsidRPr="002F55F2">
        <w:rPr>
          <w:rFonts w:ascii="mylotus" w:hAnsi="mylotus"/>
          <w:sz w:val="34"/>
          <w:szCs w:val="34"/>
          <w:rtl/>
          <w:lang w:bidi="ar-BH"/>
        </w:rPr>
        <w:t>لم يكن كلّ منهما دَينًا، وإنّما صارا دَينًا بالبيع لا أنه دين تعلق به البيع. وبعبارة أخرى: ظاهر الرواية أنّ البيع طرأ على الدَّين، فلا يشمل ما إذا تحقّق الدَّين بالبيع.</w:t>
      </w:r>
    </w:p>
    <w:p w14:paraId="4AD53FFB"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 xml:space="preserve">وحيث لم يحرز شمول رواية طلحة له لم تثبت له المانعية، كما أن ما قام عليه الإجماع هو الكبرى وهي بطلان بيع الدين بالدين، والقدر المتيقّن من معقد الإجماع هو ما كان دَينين قبل العقد، وإن نقل صاحب مفتاح الكرامة عن كثير من المتأخرين الإجماع على بطلانه إلا أنه إجماع حادث محتمل </w:t>
      </w:r>
      <w:proofErr w:type="spellStart"/>
      <w:r w:rsidRPr="002F55F2">
        <w:rPr>
          <w:rFonts w:ascii="mylotus" w:hAnsi="mylotus"/>
          <w:sz w:val="34"/>
          <w:szCs w:val="34"/>
          <w:rtl/>
          <w:lang w:bidi="ar-BH"/>
        </w:rPr>
        <w:t>المدركية</w:t>
      </w:r>
      <w:proofErr w:type="spellEnd"/>
      <w:r w:rsidRPr="002F55F2">
        <w:rPr>
          <w:rFonts w:ascii="mylotus" w:hAnsi="mylotus"/>
          <w:sz w:val="34"/>
          <w:szCs w:val="34"/>
          <w:rtl/>
          <w:lang w:bidi="ar-BH"/>
        </w:rPr>
        <w:t>، لاحتمال استناده إلى فهمهم تعميم الد</w:t>
      </w:r>
      <w:r w:rsidRPr="002F55F2">
        <w:rPr>
          <w:rFonts w:ascii="mylotus" w:hAnsi="mylotus"/>
          <w:sz w:val="34"/>
          <w:szCs w:val="34"/>
          <w:rtl/>
        </w:rPr>
        <w:t>َّ</w:t>
      </w:r>
      <w:r w:rsidRPr="002F55F2">
        <w:rPr>
          <w:rFonts w:ascii="mylotus" w:hAnsi="mylotus"/>
          <w:sz w:val="34"/>
          <w:szCs w:val="34"/>
          <w:rtl/>
          <w:lang w:bidi="ar-BH"/>
        </w:rPr>
        <w:t>ين بالد</w:t>
      </w:r>
      <w:r w:rsidRPr="002F55F2">
        <w:rPr>
          <w:rFonts w:ascii="mylotus" w:hAnsi="mylotus"/>
          <w:sz w:val="34"/>
          <w:szCs w:val="34"/>
          <w:rtl/>
        </w:rPr>
        <w:t>َّ</w:t>
      </w:r>
      <w:r w:rsidRPr="002F55F2">
        <w:rPr>
          <w:rFonts w:ascii="mylotus" w:hAnsi="mylotus"/>
          <w:sz w:val="34"/>
          <w:szCs w:val="34"/>
          <w:rtl/>
          <w:lang w:bidi="ar-BH"/>
        </w:rPr>
        <w:t>ين لمثل ذلك.</w:t>
      </w:r>
    </w:p>
    <w:p w14:paraId="72046688" w14:textId="77777777" w:rsidR="002F55F2" w:rsidRPr="002F55F2" w:rsidRDefault="002F55F2" w:rsidP="002F55F2">
      <w:pPr>
        <w:pStyle w:val="a0"/>
        <w:bidi/>
        <w:rPr>
          <w:rFonts w:ascii="mylotus" w:hAnsi="mylotus"/>
          <w:sz w:val="34"/>
          <w:szCs w:val="34"/>
          <w:rtl/>
        </w:rPr>
      </w:pPr>
      <w:r w:rsidRPr="002F55F2">
        <w:rPr>
          <w:rFonts w:ascii="mylotus" w:hAnsi="mylotus"/>
          <w:sz w:val="34"/>
          <w:szCs w:val="34"/>
          <w:rtl/>
          <w:lang w:bidi="ar-BH"/>
        </w:rPr>
        <w:t>والنتيجة هي أنّ المحذور الرابع -وهو الكلي بالكلي في العملات وغيرها- ممّا لم يحرز بطلانه فمقتضى العمومات صحته.</w:t>
      </w:r>
    </w:p>
    <w:p w14:paraId="5FBD185F" w14:textId="1E37DB70" w:rsidR="001E176D" w:rsidRPr="00EA715A" w:rsidRDefault="001E176D" w:rsidP="001E176D">
      <w:pPr>
        <w:pStyle w:val="a0"/>
        <w:bidi/>
        <w:rPr>
          <w:rFonts w:ascii="mylotus" w:hAnsi="mylotus"/>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E8AC7" w14:textId="77777777" w:rsidR="00D512E9" w:rsidRDefault="00D512E9" w:rsidP="00A5027D">
      <w:pPr>
        <w:spacing w:line="240" w:lineRule="auto"/>
      </w:pPr>
      <w:r>
        <w:separator/>
      </w:r>
    </w:p>
  </w:endnote>
  <w:endnote w:type="continuationSeparator" w:id="0">
    <w:p w14:paraId="1866B9E0" w14:textId="77777777" w:rsidR="00D512E9" w:rsidRDefault="00D512E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B11E0D" w:rsidRPr="00B11E0D">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6EFF2" w14:textId="77777777" w:rsidR="00D512E9" w:rsidRDefault="00D512E9" w:rsidP="00A5027D">
      <w:pPr>
        <w:spacing w:line="240" w:lineRule="auto"/>
      </w:pPr>
      <w:r>
        <w:separator/>
      </w:r>
    </w:p>
  </w:footnote>
  <w:footnote w:type="continuationSeparator" w:id="0">
    <w:p w14:paraId="7E9EA004" w14:textId="77777777" w:rsidR="00D512E9" w:rsidRDefault="00D512E9" w:rsidP="00A5027D">
      <w:pPr>
        <w:spacing w:line="240" w:lineRule="auto"/>
      </w:pPr>
      <w:r>
        <w:continuationSeparator/>
      </w:r>
    </w:p>
  </w:footnote>
  <w:footnote w:id="1">
    <w:p w14:paraId="2DDE7441" w14:textId="77777777" w:rsidR="002F55F2" w:rsidRDefault="002F55F2" w:rsidP="002F55F2">
      <w:pPr>
        <w:pStyle w:val="a4"/>
      </w:pPr>
      <w:r w:rsidRPr="00F00580">
        <w:rPr>
          <w:rFonts w:hint="cs"/>
          <w:rtl/>
        </w:rPr>
        <w:t>(</w:t>
      </w:r>
      <w:r w:rsidRPr="00F00580">
        <w:rPr>
          <w:rStyle w:val="ac"/>
          <w:vertAlign w:val="baseline"/>
        </w:rPr>
        <w:footnoteRef/>
      </w:r>
      <w:r w:rsidRPr="00F00580">
        <w:rPr>
          <w:rFonts w:hint="cs"/>
          <w:rtl/>
        </w:rPr>
        <w:t>)</w:t>
      </w:r>
      <w:r>
        <w:rPr>
          <w:rtl/>
        </w:rPr>
        <w:t xml:space="preserve"> </w:t>
      </w:r>
      <w:r w:rsidRPr="00F00580">
        <w:rPr>
          <w:rFonts w:hint="cs"/>
          <w:b/>
          <w:bCs/>
          <w:rtl/>
        </w:rPr>
        <w:t>موسوعة السيد الخوئي</w:t>
      </w:r>
      <w:r>
        <w:rPr>
          <w:rFonts w:hint="cs"/>
          <w:rtl/>
        </w:rPr>
        <w:t xml:space="preserve">، السيد أبو القاسم الخوئي، </w:t>
      </w:r>
      <w:r>
        <w:rPr>
          <w:rFonts w:cs="Simplified Arabic"/>
          <w:rtl/>
          <w:lang w:bidi="ar-BH"/>
        </w:rPr>
        <w:t>ج٤٠، ص٢٣٥</w:t>
      </w:r>
      <w:r>
        <w:rPr>
          <w:rFonts w:hint="cs"/>
          <w:rtl/>
        </w:rPr>
        <w:t>.</w:t>
      </w:r>
    </w:p>
  </w:footnote>
  <w:footnote w:id="2">
    <w:p w14:paraId="4A1EBD66" w14:textId="77777777" w:rsidR="002F55F2" w:rsidRDefault="002F55F2" w:rsidP="002F55F2">
      <w:pPr>
        <w:pStyle w:val="a4"/>
      </w:pPr>
      <w:r w:rsidRPr="00C76378">
        <w:rPr>
          <w:rFonts w:hint="cs"/>
          <w:rtl/>
        </w:rPr>
        <w:t>(</w:t>
      </w:r>
      <w:r w:rsidRPr="00C76378">
        <w:rPr>
          <w:rStyle w:val="ac"/>
          <w:vertAlign w:val="baseline"/>
        </w:rPr>
        <w:footnoteRef/>
      </w:r>
      <w:r w:rsidRPr="00C76378">
        <w:rPr>
          <w:rFonts w:hint="cs"/>
          <w:rtl/>
        </w:rPr>
        <w:t>)</w:t>
      </w:r>
      <w:r>
        <w:rPr>
          <w:rtl/>
        </w:rPr>
        <w:t xml:space="preserve"> </w:t>
      </w:r>
      <w:r w:rsidRPr="00C76378">
        <w:rPr>
          <w:rFonts w:hint="cs"/>
          <w:b/>
          <w:bCs/>
          <w:rtl/>
        </w:rPr>
        <w:t>الحدائق الناظرة</w:t>
      </w:r>
      <w:r>
        <w:rPr>
          <w:rFonts w:hint="cs"/>
          <w:rtl/>
        </w:rPr>
        <w:t xml:space="preserve">، الشيخ يوسف بن أحمد آل عصفور البحراني، </w:t>
      </w:r>
      <w:r>
        <w:rPr>
          <w:rFonts w:cs="Simplified Arabic"/>
          <w:rtl/>
          <w:lang w:bidi="ar-BH"/>
        </w:rPr>
        <w:t>ج٢٠، ص٢٠١</w:t>
      </w:r>
      <w:r>
        <w:rPr>
          <w:rFonts w:hint="cs"/>
          <w:rtl/>
        </w:rPr>
        <w:t>.</w:t>
      </w:r>
    </w:p>
  </w:footnote>
  <w:footnote w:id="3">
    <w:p w14:paraId="1854DF74" w14:textId="77777777" w:rsidR="002F55F2" w:rsidRDefault="002F55F2" w:rsidP="002F55F2">
      <w:pPr>
        <w:pStyle w:val="a4"/>
      </w:pPr>
      <w:r w:rsidRPr="004F2902">
        <w:rPr>
          <w:rFonts w:hint="cs"/>
          <w:rtl/>
        </w:rPr>
        <w:t>(</w:t>
      </w:r>
      <w:r w:rsidRPr="004F2902">
        <w:rPr>
          <w:rStyle w:val="ac"/>
          <w:vertAlign w:val="baseline"/>
        </w:rPr>
        <w:footnoteRef/>
      </w:r>
      <w:r w:rsidRPr="004F2902">
        <w:rPr>
          <w:rFonts w:hint="cs"/>
          <w:rtl/>
        </w:rPr>
        <w:t>)</w:t>
      </w:r>
      <w:r>
        <w:rPr>
          <w:rFonts w:hint="cs"/>
          <w:rtl/>
        </w:rPr>
        <w:t xml:space="preserve"> راجع: </w:t>
      </w:r>
      <w:r w:rsidRPr="004F2902">
        <w:rPr>
          <w:rFonts w:hint="cs"/>
          <w:b/>
          <w:bCs/>
          <w:rtl/>
        </w:rPr>
        <w:t>وسائل الشيعة</w:t>
      </w:r>
      <w:r>
        <w:rPr>
          <w:rFonts w:hint="cs"/>
          <w:rtl/>
        </w:rPr>
        <w:t xml:space="preserve">، الحر العاملي، الباب 15 نت </w:t>
      </w:r>
      <w:r>
        <w:rPr>
          <w:rFonts w:cs="Simplified Arabic" w:hint="cs"/>
          <w:rtl/>
          <w:lang w:bidi="ar-BH"/>
        </w:rPr>
        <w:t>أبواب</w:t>
      </w:r>
      <w:r>
        <w:rPr>
          <w:rFonts w:hint="cs"/>
          <w:rtl/>
        </w:rPr>
        <w:t xml:space="preserve"> الدين، ح15.</w:t>
      </w:r>
    </w:p>
  </w:footnote>
  <w:footnote w:id="4">
    <w:p w14:paraId="0B0D201D" w14:textId="77777777" w:rsidR="002F55F2" w:rsidRDefault="002F55F2" w:rsidP="002F55F2">
      <w:pPr>
        <w:pStyle w:val="a4"/>
      </w:pPr>
      <w:r w:rsidRPr="005169AA">
        <w:rPr>
          <w:rFonts w:hint="cs"/>
          <w:rtl/>
        </w:rPr>
        <w:t>(</w:t>
      </w:r>
      <w:r w:rsidRPr="005169AA">
        <w:rPr>
          <w:rStyle w:val="ac"/>
          <w:vertAlign w:val="baseline"/>
        </w:rPr>
        <w:footnoteRef/>
      </w:r>
      <w:r w:rsidRPr="005169AA">
        <w:rPr>
          <w:rFonts w:hint="cs"/>
          <w:rtl/>
        </w:rPr>
        <w:t>)</w:t>
      </w:r>
      <w:r>
        <w:rPr>
          <w:rtl/>
        </w:rPr>
        <w:t xml:space="preserve"> </w:t>
      </w:r>
      <w:r>
        <w:rPr>
          <w:rFonts w:hint="cs"/>
          <w:rtl/>
        </w:rPr>
        <w:t xml:space="preserve">راجع: </w:t>
      </w:r>
      <w:r w:rsidRPr="005169AA">
        <w:rPr>
          <w:rFonts w:hint="cs"/>
          <w:b/>
          <w:bCs/>
          <w:rtl/>
        </w:rPr>
        <w:t>مفتاح الكرامة</w:t>
      </w:r>
      <w:r>
        <w:rPr>
          <w:rFonts w:hint="cs"/>
          <w:rtl/>
        </w:rPr>
        <w:t xml:space="preserve"> (مؤسسة النشر الإسلامي)، محمد جواد الحسيني العاملي، ج15، ص90.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BDD2D25" w:rsidR="00B07F43" w:rsidRDefault="00B8145D" w:rsidP="00FE0B22">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612E1E">
      <w:rPr>
        <w:rFonts w:ascii="mylotus" w:hAnsi="mylotus" w:cs="mylotus" w:hint="cs"/>
        <w:color w:val="FF0000"/>
        <w:sz w:val="24"/>
        <w:szCs w:val="24"/>
        <w:rtl/>
      </w:rPr>
      <w:t>21</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FE0B22">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612E1E">
      <w:rPr>
        <w:rFonts w:ascii="mylotus" w:hAnsi="mylotus" w:cs="mylotus" w:hint="cs"/>
        <w:color w:val="FF0000"/>
        <w:sz w:val="24"/>
        <w:szCs w:val="24"/>
        <w:rtl/>
      </w:rPr>
      <w:t>10</w:t>
    </w:r>
    <w:r w:rsidR="002F7D24" w:rsidRPr="00EF47A8">
      <w:rPr>
        <w:rFonts w:ascii="mylotus" w:hAnsi="mylotus" w:cs="mylotus"/>
        <w:color w:val="FF0000"/>
        <w:sz w:val="24"/>
        <w:szCs w:val="24"/>
        <w:rtl/>
      </w:rPr>
      <w:t xml:space="preserve"> - ليلة </w:t>
    </w:r>
    <w:r w:rsidR="00097CBA">
      <w:rPr>
        <w:rFonts w:ascii="mylotus" w:hAnsi="mylotus" w:cs="mylotus" w:hint="cs"/>
        <w:color w:val="FF0000"/>
        <w:sz w:val="24"/>
        <w:szCs w:val="24"/>
        <w:rtl/>
      </w:rPr>
      <w:t>الأربعاء 28</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F0F51-54CE-42C9-AE33-469DA7CAB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945</Words>
  <Characters>5392</Characters>
  <Application>Microsoft Office Word</Application>
  <DocSecurity>0</DocSecurity>
  <Lines>44</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2026-03-25T07:41:00Z</cp:lastPrinted>
  <dcterms:created xsi:type="dcterms:W3CDTF">2026-03-29T14:20:00Z</dcterms:created>
  <dcterms:modified xsi:type="dcterms:W3CDTF">2026-03-29T14:20:00Z</dcterms:modified>
</cp:coreProperties>
</file>