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57EBD" w14:textId="77777777" w:rsidR="00444116" w:rsidRPr="005F7776" w:rsidRDefault="00AC2737" w:rsidP="00700C70">
      <w:pPr>
        <w:pStyle w:val="a0"/>
        <w:bidi/>
        <w:spacing w:line="216" w:lineRule="auto"/>
        <w:jc w:val="center"/>
        <w:rPr>
          <w:rFonts w:ascii="mylotus" w:hAnsi="mylotus"/>
          <w:b/>
          <w:bCs/>
          <w:sz w:val="34"/>
          <w:szCs w:val="34"/>
          <w:rtl/>
        </w:rPr>
      </w:pPr>
      <w:r w:rsidRPr="005F7776">
        <w:rPr>
          <w:rFonts w:ascii="mylotus" w:hAnsi="mylotus"/>
          <w:b/>
          <w:bCs/>
          <w:sz w:val="34"/>
          <w:szCs w:val="34"/>
          <w:rtl/>
        </w:rPr>
        <w:t>بسم الله الرحمن الرحيم</w:t>
      </w:r>
    </w:p>
    <w:p w14:paraId="141C04A3" w14:textId="77777777" w:rsidR="00444116" w:rsidRPr="005F7776" w:rsidRDefault="00AC2737" w:rsidP="00700C70">
      <w:pPr>
        <w:pStyle w:val="a0"/>
        <w:bidi/>
        <w:spacing w:line="216" w:lineRule="auto"/>
        <w:jc w:val="center"/>
        <w:rPr>
          <w:rFonts w:ascii="mylotus" w:hAnsi="mylotus"/>
          <w:b/>
          <w:bCs/>
          <w:sz w:val="34"/>
          <w:szCs w:val="34"/>
          <w:rtl/>
        </w:rPr>
      </w:pPr>
      <w:r w:rsidRPr="005F7776">
        <w:rPr>
          <w:rFonts w:ascii="mylotus" w:hAnsi="mylotus"/>
          <w:b/>
          <w:bCs/>
          <w:sz w:val="34"/>
          <w:szCs w:val="34"/>
          <w:rtl/>
        </w:rPr>
        <w:t>والصلاة والسلام على أشرف الأنبياء والمرسلين، محمد وآله الطيبين الطاهرين</w:t>
      </w:r>
    </w:p>
    <w:p w14:paraId="11EA8AE1" w14:textId="16E98096" w:rsidR="00444116" w:rsidRPr="005F7776" w:rsidRDefault="00AC2737" w:rsidP="00700C70">
      <w:pPr>
        <w:pStyle w:val="a0"/>
        <w:bidi/>
        <w:spacing w:line="216" w:lineRule="auto"/>
        <w:jc w:val="center"/>
        <w:rPr>
          <w:rFonts w:ascii="mylotus" w:hAnsi="mylotus"/>
          <w:sz w:val="34"/>
          <w:szCs w:val="34"/>
          <w:rtl/>
        </w:rPr>
      </w:pPr>
      <w:r w:rsidRPr="005F7776">
        <w:rPr>
          <w:rFonts w:ascii="mylotus" w:hAnsi="mylotus"/>
          <w:b/>
          <w:bCs/>
          <w:sz w:val="34"/>
          <w:szCs w:val="34"/>
          <w:rtl/>
        </w:rPr>
        <w:t>واللعن الدائم على أعدائهم أجمعين إلى قيام يوم الدين</w:t>
      </w:r>
      <w:r w:rsidR="002339F1" w:rsidRPr="005F7776">
        <w:rPr>
          <w:rFonts w:ascii="mylotus" w:hAnsi="mylotus"/>
          <w:b/>
          <w:bCs/>
          <w:sz w:val="34"/>
          <w:szCs w:val="34"/>
          <w:rtl/>
        </w:rPr>
        <w:t xml:space="preserve"> </w:t>
      </w:r>
    </w:p>
    <w:p w14:paraId="31B9A412" w14:textId="77777777" w:rsidR="007D2DF4" w:rsidRPr="005F7776" w:rsidRDefault="007D2DF4" w:rsidP="00700C70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</w:p>
    <w:p w14:paraId="6E92CAD8" w14:textId="5E799C81" w:rsidR="009B3301" w:rsidRPr="009B3301" w:rsidRDefault="009B3301" w:rsidP="009B3301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>
        <w:rPr>
          <w:rFonts w:ascii="mylotus" w:hAnsi="mylotus"/>
          <w:sz w:val="34"/>
          <w:szCs w:val="34"/>
          <w:rtl/>
        </w:rPr>
        <w:t>والتحقيق</w:t>
      </w:r>
      <w:r w:rsidRPr="009B3301">
        <w:rPr>
          <w:rFonts w:ascii="mylotus" w:hAnsi="mylotus"/>
          <w:sz w:val="34"/>
          <w:szCs w:val="34"/>
          <w:rtl/>
        </w:rPr>
        <w:t xml:space="preserve"> في بيان مطلب المحقق النائيني </w:t>
      </w:r>
      <w:r>
        <w:rPr>
          <w:rFonts w:ascii="mylotus" w:hAnsi="mylotus" w:hint="cs"/>
          <w:sz w:val="34"/>
          <w:szCs w:val="34"/>
          <w:rtl/>
        </w:rPr>
        <w:t>(</w:t>
      </w:r>
      <w:r w:rsidRPr="009B3301">
        <w:rPr>
          <w:rFonts w:ascii="mylotus" w:hAnsi="mylotus"/>
          <w:sz w:val="34"/>
          <w:szCs w:val="34"/>
          <w:rtl/>
        </w:rPr>
        <w:t>قد</w:t>
      </w:r>
      <w:r>
        <w:rPr>
          <w:rFonts w:ascii="mylotus" w:hAnsi="mylotus" w:hint="cs"/>
          <w:sz w:val="34"/>
          <w:szCs w:val="34"/>
          <w:rtl/>
        </w:rPr>
        <w:t>س سر</w:t>
      </w:r>
      <w:r w:rsidRPr="009B3301">
        <w:rPr>
          <w:rFonts w:ascii="mylotus" w:hAnsi="mylotus"/>
          <w:sz w:val="34"/>
          <w:szCs w:val="34"/>
          <w:rtl/>
        </w:rPr>
        <w:t>ه</w:t>
      </w:r>
      <w:r>
        <w:rPr>
          <w:rFonts w:ascii="mylotus" w:hAnsi="mylotus" w:hint="cs"/>
          <w:sz w:val="34"/>
          <w:szCs w:val="34"/>
          <w:rtl/>
        </w:rPr>
        <w:t>)</w:t>
      </w:r>
      <w:r w:rsidRPr="009B3301">
        <w:rPr>
          <w:rFonts w:ascii="mylotus" w:hAnsi="mylotus"/>
          <w:sz w:val="34"/>
          <w:szCs w:val="34"/>
          <w:rtl/>
        </w:rPr>
        <w:t xml:space="preserve"> والتأمل فيه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يقتضي التفصيل بين مقام الإثبات ومقام الثبوت</w:t>
      </w:r>
      <w:r w:rsidRPr="009B3301">
        <w:rPr>
          <w:rFonts w:ascii="mylotus" w:hAnsi="mylotus"/>
          <w:sz w:val="34"/>
          <w:szCs w:val="34"/>
        </w:rPr>
        <w:t>.</w:t>
      </w:r>
    </w:p>
    <w:p w14:paraId="107CAE9E" w14:textId="53E94E50" w:rsidR="009B3301" w:rsidRPr="009B3301" w:rsidRDefault="008B2173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  <w:lang w:bidi="ar-IQ"/>
        </w:rPr>
      </w:pPr>
      <w:r>
        <w:rPr>
          <w:rFonts w:ascii="mylotus" w:hAnsi="mylotus" w:hint="cs"/>
          <w:b/>
          <w:bCs/>
          <w:sz w:val="34"/>
          <w:szCs w:val="34"/>
          <w:rtl/>
        </w:rPr>
        <w:t xml:space="preserve">فأما </w:t>
      </w:r>
      <w:r w:rsidR="009B3301" w:rsidRPr="009B3301">
        <w:rPr>
          <w:rFonts w:ascii="mylotus" w:hAnsi="mylotus"/>
          <w:b/>
          <w:bCs/>
          <w:sz w:val="34"/>
          <w:szCs w:val="34"/>
          <w:rtl/>
        </w:rPr>
        <w:t>مقام الإثبات:</w:t>
      </w:r>
      <w:r w:rsidR="009B3301">
        <w:rPr>
          <w:rFonts w:ascii="mylotus" w:hAnsi="mylotus"/>
          <w:sz w:val="34"/>
          <w:szCs w:val="34"/>
          <w:rtl/>
        </w:rPr>
        <w:t xml:space="preserve"> أي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تحديد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مناط ظهور المعاملة في تضمنها للتعهد وال</w:t>
      </w:r>
      <w:r w:rsidR="009B3301"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>لتزام</w:t>
      </w:r>
      <w:r w:rsidR="00D0504B">
        <w:rPr>
          <w:rFonts w:ascii="mylotus" w:hAnsi="mylotus"/>
          <w:sz w:val="34"/>
          <w:szCs w:val="34"/>
          <w:rtl/>
        </w:rPr>
        <w:t>،</w:t>
      </w:r>
      <w:r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ف</w:t>
      </w:r>
      <w:r w:rsidR="009B3301">
        <w:rPr>
          <w:rFonts w:ascii="mylotus" w:hAnsi="mylotus"/>
          <w:sz w:val="34"/>
          <w:szCs w:val="34"/>
          <w:rtl/>
        </w:rPr>
        <w:t xml:space="preserve">بيانه: </w:t>
      </w:r>
      <w:r w:rsidR="009B3301">
        <w:rPr>
          <w:rFonts w:ascii="mylotus" w:hAnsi="mylotus" w:hint="cs"/>
          <w:sz w:val="34"/>
          <w:szCs w:val="34"/>
          <w:rtl/>
        </w:rPr>
        <w:t>أ</w:t>
      </w:r>
      <w:r w:rsidR="009B3301" w:rsidRPr="009B3301">
        <w:rPr>
          <w:rFonts w:ascii="mylotus" w:hAnsi="mylotus"/>
          <w:sz w:val="34"/>
          <w:szCs w:val="34"/>
          <w:rtl/>
        </w:rPr>
        <w:t xml:space="preserve">ن عدم إقرار العقلاء بالمُنشأ </w:t>
      </w:r>
      <w:proofErr w:type="spellStart"/>
      <w:r w:rsidR="009B3301" w:rsidRPr="009B3301">
        <w:rPr>
          <w:rFonts w:ascii="mylotus" w:hAnsi="mylotus"/>
          <w:sz w:val="34"/>
          <w:szCs w:val="34"/>
          <w:rtl/>
        </w:rPr>
        <w:t>المعاملي</w:t>
      </w:r>
      <w:proofErr w:type="spellEnd"/>
      <w:r w:rsidR="00D0504B">
        <w:rPr>
          <w:rFonts w:ascii="mylotus" w:hAnsi="mylotu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إلا إ</w:t>
      </w:r>
      <w:r w:rsidR="009B3301">
        <w:rPr>
          <w:rFonts w:ascii="mylotus" w:hAnsi="mylotus"/>
          <w:sz w:val="34"/>
          <w:szCs w:val="34"/>
          <w:rtl/>
        </w:rPr>
        <w:t>ذا كان متضمناً للتعهد والالتزام</w:t>
      </w:r>
      <w:r w:rsidR="009B3301" w:rsidRPr="009B3301">
        <w:rPr>
          <w:rFonts w:ascii="mylotus" w:hAnsi="mylotus"/>
          <w:sz w:val="34"/>
          <w:szCs w:val="34"/>
          <w:rtl/>
        </w:rPr>
        <w:t xml:space="preserve"> صار مَنشأً لظهور حال المتعاقدين في الالتزام بالمُنشأ من قبلهما</w:t>
      </w:r>
      <w:r w:rsidR="00D0504B"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بمعنى أن اِلتفات المتعاقدين كالبائع والمشتري أو المُؤجِر والمستأجر إلى أن </w:t>
      </w:r>
      <w:r w:rsidR="00700878">
        <w:rPr>
          <w:rFonts w:ascii="mylotus" w:hAnsi="mylotus"/>
          <w:sz w:val="34"/>
          <w:szCs w:val="34"/>
          <w:rtl/>
        </w:rPr>
        <w:t>العقلاء لا يمضون لقلقة الاعتبار</w:t>
      </w:r>
      <w:r w:rsidR="00700878">
        <w:rPr>
          <w:rFonts w:ascii="mylotus" w:hAnsi="mylotus" w:hint="cs"/>
          <w:sz w:val="34"/>
          <w:szCs w:val="34"/>
          <w:rtl/>
        </w:rPr>
        <w:t xml:space="preserve"> -</w:t>
      </w:r>
      <w:r w:rsidR="009B3301" w:rsidRPr="009B3301">
        <w:rPr>
          <w:rFonts w:ascii="mylotus" w:hAnsi="mylotus"/>
          <w:sz w:val="34"/>
          <w:szCs w:val="34"/>
          <w:rtl/>
        </w:rPr>
        <w:t xml:space="preserve"> وإن لم يكن ذلك الاعتبار متضمناً </w:t>
      </w:r>
      <w:r w:rsidR="00700878">
        <w:rPr>
          <w:rFonts w:ascii="mylotus" w:hAnsi="mylotus"/>
          <w:sz w:val="34"/>
          <w:szCs w:val="34"/>
          <w:rtl/>
        </w:rPr>
        <w:t>لتعهد والتزام من قبل المتعاملين</w:t>
      </w:r>
      <w:r w:rsidR="00700878">
        <w:rPr>
          <w:rFonts w:ascii="mylotus" w:hAnsi="mylotus" w:hint="cs"/>
          <w:sz w:val="34"/>
          <w:szCs w:val="34"/>
          <w:rtl/>
        </w:rPr>
        <w:t xml:space="preserve"> -</w:t>
      </w:r>
      <w:r w:rsidR="009B3301" w:rsidRPr="009B3301">
        <w:rPr>
          <w:rFonts w:ascii="mylotus" w:hAnsi="mylotus"/>
          <w:sz w:val="34"/>
          <w:szCs w:val="34"/>
          <w:rtl/>
        </w:rPr>
        <w:t xml:space="preserve"> يقتضي عادة سير</w:t>
      </w:r>
      <w:r w:rsidR="009B3301"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المتعاملين على وفق البناء العقلائي توصلا لتنفيذ المعاملة الصادرة عنهما</w:t>
      </w:r>
      <w:r w:rsidR="00D0504B"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ونتيجة ذلك - في مقام الإثبات - أن ظاهر حالهما عند صدور المعاملة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="009B3301">
        <w:rPr>
          <w:rFonts w:ascii="mylotus" w:hAnsi="mylotus"/>
          <w:sz w:val="34"/>
          <w:szCs w:val="34"/>
          <w:rtl/>
        </w:rPr>
        <w:t>أنهما جريا وفق المرتكز العقلائي من ال</w:t>
      </w:r>
      <w:r w:rsidR="009B3301">
        <w:rPr>
          <w:rFonts w:ascii="mylotus" w:hAnsi="mylotus" w:hint="cs"/>
          <w:sz w:val="34"/>
          <w:szCs w:val="34"/>
          <w:rtl/>
        </w:rPr>
        <w:t>ا</w:t>
      </w:r>
      <w:r w:rsidR="009B3301">
        <w:rPr>
          <w:rFonts w:ascii="mylotus" w:hAnsi="mylotus"/>
          <w:sz w:val="34"/>
          <w:szCs w:val="34"/>
          <w:rtl/>
        </w:rPr>
        <w:t>لتزام والتعهد بما أنشأ</w:t>
      </w:r>
      <w:r w:rsidR="009B3301">
        <w:rPr>
          <w:rFonts w:ascii="mylotus" w:hAnsi="mylotus" w:hint="cs"/>
          <w:sz w:val="34"/>
          <w:szCs w:val="34"/>
          <w:rtl/>
        </w:rPr>
        <w:t>.</w:t>
      </w:r>
    </w:p>
    <w:p w14:paraId="1A439754" w14:textId="3AD0806E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>فعندما يقول البائعُ للمشتري: بعتك هذه السلعة بكذا، فظاهر حاله الالتزام بما أنشأ، لا أنه مجرد فرض واعتبار، ومَنشأ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الظهور الحالي هو التفات المتعاملين إلى أن البناء العقلائي لا يقر المُنشأ، ولا يرتب الأثر عليه ما</w:t>
      </w:r>
      <w:r w:rsidR="008B2173"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لم يكن متضمناً لحيثية التعهد والالتزام</w:t>
      </w:r>
      <w:r w:rsidRPr="009B3301">
        <w:rPr>
          <w:rFonts w:ascii="mylotus" w:hAnsi="mylotus"/>
          <w:sz w:val="34"/>
          <w:szCs w:val="34"/>
        </w:rPr>
        <w:t>.</w:t>
      </w:r>
    </w:p>
    <w:p w14:paraId="2E112046" w14:textId="2362A929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 xml:space="preserve">لكن هذا التحليل غير تام، والسر في ذلك: أن موضوع البناء العقلائي على إمضاء المعاملة، ليس هو تضمن المُنشأ </w:t>
      </w:r>
      <w:proofErr w:type="spellStart"/>
      <w:r w:rsidRPr="009B3301">
        <w:rPr>
          <w:rFonts w:ascii="mylotus" w:hAnsi="mylotus"/>
          <w:sz w:val="34"/>
          <w:szCs w:val="34"/>
          <w:rtl/>
        </w:rPr>
        <w:t>المعاملي</w:t>
      </w:r>
      <w:proofErr w:type="spellEnd"/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للالتزام والتعهد؛ بل موضوع الإمضاء هو صدور الاعتبار عن جدٍ مقابل الهزل والدواعي الأخرى</w:t>
      </w:r>
      <w:r w:rsidR="00D0504B">
        <w:rPr>
          <w:rFonts w:ascii="mylotus" w:hAnsi="mylotu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فلو قال: </w:t>
      </w:r>
      <w:r w:rsidR="004A08C5">
        <w:rPr>
          <w:rFonts w:ascii="mylotus" w:hAnsi="mylotus" w:hint="cs"/>
          <w:sz w:val="34"/>
          <w:szCs w:val="34"/>
          <w:rtl/>
        </w:rPr>
        <w:t>(</w:t>
      </w:r>
      <w:r w:rsidRPr="009B3301">
        <w:rPr>
          <w:rFonts w:ascii="mylotus" w:hAnsi="mylotus"/>
          <w:sz w:val="34"/>
          <w:szCs w:val="34"/>
          <w:rtl/>
        </w:rPr>
        <w:t>بعتُ عن إرادة جدية</w:t>
      </w:r>
      <w:r w:rsidR="004A08C5">
        <w:rPr>
          <w:rFonts w:ascii="mylotus" w:hAnsi="mylotus" w:hint="cs"/>
          <w:sz w:val="34"/>
          <w:szCs w:val="34"/>
          <w:rtl/>
        </w:rPr>
        <w:t>)</w:t>
      </w:r>
      <w:r w:rsidRPr="009B3301">
        <w:rPr>
          <w:rFonts w:ascii="mylotus" w:hAnsi="mylotus"/>
          <w:sz w:val="34"/>
          <w:szCs w:val="34"/>
          <w:rtl/>
        </w:rPr>
        <w:t xml:space="preserve"> أو قال: </w:t>
      </w:r>
      <w:r w:rsidR="004A08C5">
        <w:rPr>
          <w:rFonts w:ascii="mylotus" w:hAnsi="mylotus" w:hint="cs"/>
          <w:sz w:val="34"/>
          <w:szCs w:val="34"/>
          <w:rtl/>
        </w:rPr>
        <w:t>(</w:t>
      </w:r>
      <w:r w:rsidRPr="009B3301">
        <w:rPr>
          <w:rFonts w:ascii="mylotus" w:hAnsi="mylotus"/>
          <w:sz w:val="34"/>
          <w:szCs w:val="34"/>
          <w:rtl/>
        </w:rPr>
        <w:t>آجرتُ عن إرادة جدية</w:t>
      </w:r>
      <w:r w:rsidR="004A08C5">
        <w:rPr>
          <w:rFonts w:ascii="mylotus" w:hAnsi="mylotus" w:hint="cs"/>
          <w:sz w:val="34"/>
          <w:szCs w:val="34"/>
          <w:rtl/>
        </w:rPr>
        <w:t>)</w:t>
      </w:r>
      <w:r w:rsidRPr="009B3301">
        <w:rPr>
          <w:rFonts w:ascii="mylotus" w:hAnsi="mylotus"/>
          <w:sz w:val="34"/>
          <w:szCs w:val="34"/>
          <w:rtl/>
        </w:rPr>
        <w:t xml:space="preserve"> كان ذلك موضوعاً للإمضاء والإقرار</w:t>
      </w:r>
      <w:r w:rsidRPr="009B3301">
        <w:rPr>
          <w:rFonts w:ascii="mylotus" w:hAnsi="mylotus"/>
          <w:sz w:val="34"/>
          <w:szCs w:val="34"/>
        </w:rPr>
        <w:t>.</w:t>
      </w:r>
    </w:p>
    <w:p w14:paraId="620FDE17" w14:textId="1B00495D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>وأما الكاشف عن ذلك إثباتا</w:t>
      </w:r>
      <w:r w:rsidR="004A08C5">
        <w:rPr>
          <w:rFonts w:ascii="mylotus" w:hAnsi="mylotus" w:hint="cs"/>
          <w:sz w:val="34"/>
          <w:szCs w:val="34"/>
          <w:rtl/>
        </w:rPr>
        <w:t>ً</w:t>
      </w:r>
      <w:r w:rsidRPr="009B3301">
        <w:rPr>
          <w:rFonts w:ascii="mylotus" w:hAnsi="mylotus"/>
          <w:sz w:val="34"/>
          <w:szCs w:val="34"/>
          <w:rtl/>
        </w:rPr>
        <w:t xml:space="preserve"> فهو أصالة الجد</w:t>
      </w:r>
      <w:r w:rsidR="00D0504B">
        <w:rPr>
          <w:rFonts w:ascii="mylotus" w:hAnsi="mylotu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فكما أن الأصل </w:t>
      </w:r>
      <w:proofErr w:type="spellStart"/>
      <w:r w:rsidRPr="009B3301">
        <w:rPr>
          <w:rFonts w:ascii="mylotus" w:hAnsi="mylotus"/>
          <w:sz w:val="34"/>
          <w:szCs w:val="34"/>
          <w:rtl/>
        </w:rPr>
        <w:t>المحاوري</w:t>
      </w:r>
      <w:proofErr w:type="spellEnd"/>
      <w:r w:rsidRPr="009B3301">
        <w:rPr>
          <w:rFonts w:ascii="mylotus" w:hAnsi="mylotus"/>
          <w:sz w:val="34"/>
          <w:szCs w:val="34"/>
          <w:rtl/>
        </w:rPr>
        <w:t xml:space="preserve"> في الإخبار هو أصالة الضبط وعدم الكذب</w:t>
      </w:r>
      <w:r w:rsidR="00D0504B">
        <w:rPr>
          <w:rFonts w:ascii="mylotus" w:hAnsi="mylotu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فكذلك الأصل في كل إنشاء أو اعتبار صدوره عن جد لا هزل</w:t>
      </w:r>
      <w:r w:rsidR="00D0504B">
        <w:rPr>
          <w:rFonts w:ascii="mylotus" w:hAnsi="mylotus"/>
          <w:sz w:val="34"/>
          <w:szCs w:val="34"/>
          <w:rtl/>
        </w:rPr>
        <w:t xml:space="preserve">، </w:t>
      </w:r>
      <w:r w:rsidRPr="009B3301">
        <w:rPr>
          <w:rFonts w:ascii="mylotus" w:hAnsi="mylotus"/>
          <w:sz w:val="34"/>
          <w:szCs w:val="34"/>
          <w:rtl/>
        </w:rPr>
        <w:t>ومقتضى أصالة الجد إقرار العقلاء وإمضاؤهم لما صدر منه</w:t>
      </w:r>
      <w:r w:rsidRPr="009B3301">
        <w:rPr>
          <w:rFonts w:ascii="mylotus" w:hAnsi="mylotus"/>
          <w:sz w:val="34"/>
          <w:szCs w:val="34"/>
        </w:rPr>
        <w:t>.</w:t>
      </w:r>
    </w:p>
    <w:p w14:paraId="15C80F32" w14:textId="0FA415AF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>وأما كون كل واحد من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المتعاملين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متعهدا</w:t>
      </w:r>
      <w:r>
        <w:rPr>
          <w:rFonts w:ascii="mylotus" w:hAnsi="mylotus" w:hint="cs"/>
          <w:sz w:val="34"/>
          <w:szCs w:val="34"/>
          <w:rtl/>
        </w:rPr>
        <w:t>ً</w:t>
      </w:r>
      <w:r w:rsidRPr="009B3301">
        <w:rPr>
          <w:rFonts w:ascii="mylotus" w:hAnsi="mylotus"/>
          <w:sz w:val="34"/>
          <w:szCs w:val="34"/>
          <w:rtl/>
        </w:rPr>
        <w:t xml:space="preserve"> وملتزما</w:t>
      </w:r>
      <w:r>
        <w:rPr>
          <w:rFonts w:ascii="mylotus" w:hAnsi="mylotus" w:hint="cs"/>
          <w:sz w:val="34"/>
          <w:szCs w:val="34"/>
          <w:rtl/>
        </w:rPr>
        <w:t>ً</w:t>
      </w:r>
      <w:r w:rsidRPr="009B3301">
        <w:rPr>
          <w:rFonts w:ascii="mylotus" w:hAnsi="mylotus"/>
          <w:sz w:val="34"/>
          <w:szCs w:val="34"/>
          <w:rtl/>
        </w:rPr>
        <w:t xml:space="preserve"> بأن لا يرفع يده عن المعاملة بالفسخ</w:t>
      </w:r>
      <w:r w:rsidR="00D0504B">
        <w:rPr>
          <w:rFonts w:ascii="mylotus" w:hAnsi="mylotu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فهذا ليس دخيلاً في موضوع الإقرار والإمضاء، ولذا فإن البناء العقلائي يمضي المعاملة على طبق 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 xml:space="preserve">أراد </w:t>
      </w:r>
      <w:r w:rsidRPr="009B3301">
        <w:rPr>
          <w:rFonts w:ascii="mylotus" w:hAnsi="mylotus"/>
          <w:sz w:val="34"/>
          <w:szCs w:val="34"/>
          <w:rtl/>
        </w:rPr>
        <w:lastRenderedPageBreak/>
        <w:t>المتعاملان من إيقاعها مشر</w:t>
      </w:r>
      <w:r>
        <w:rPr>
          <w:rFonts w:ascii="mylotus" w:hAnsi="mylotus" w:hint="cs"/>
          <w:sz w:val="34"/>
          <w:szCs w:val="34"/>
          <w:rtl/>
        </w:rPr>
        <w:t>و</w:t>
      </w:r>
      <w:r>
        <w:rPr>
          <w:rFonts w:ascii="mylotus" w:hAnsi="mylotus"/>
          <w:sz w:val="34"/>
          <w:szCs w:val="34"/>
          <w:rtl/>
        </w:rPr>
        <w:t>طة بالخيار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أو</w:t>
      </w:r>
      <w:r w:rsidR="00D0504B"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غير مشروطة به</w:t>
      </w:r>
      <w:r>
        <w:rPr>
          <w:rFonts w:ascii="mylotus" w:hAnsi="mylotus" w:hint="c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وهو الحاكم بالجواز أو اللزوم في طول ذلك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لا</w:t>
      </w:r>
      <w:r w:rsidR="00D0504B"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نفس المتعاملين</w:t>
      </w:r>
      <w:r w:rsidR="00D0504B">
        <w:rPr>
          <w:rFonts w:ascii="mylotus" w:hAnsi="mylotus"/>
          <w:sz w:val="34"/>
          <w:szCs w:val="34"/>
          <w:rtl/>
        </w:rPr>
        <w:t>.</w:t>
      </w:r>
    </w:p>
    <w:p w14:paraId="36FBA7CA" w14:textId="224F9C20" w:rsidR="009B3301" w:rsidRPr="009B3301" w:rsidRDefault="008B2173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>
        <w:rPr>
          <w:rFonts w:ascii="mylotus" w:hAnsi="mylotus" w:hint="cs"/>
          <w:b/>
          <w:bCs/>
          <w:sz w:val="34"/>
          <w:szCs w:val="34"/>
          <w:rtl/>
        </w:rPr>
        <w:t xml:space="preserve">وأما </w:t>
      </w:r>
      <w:r w:rsidR="009B3301">
        <w:rPr>
          <w:rFonts w:ascii="mylotus" w:hAnsi="mylotus"/>
          <w:b/>
          <w:bCs/>
          <w:sz w:val="34"/>
          <w:szCs w:val="34"/>
          <w:rtl/>
        </w:rPr>
        <w:t>مقام الثبوت</w:t>
      </w:r>
      <w:r w:rsidR="009B3301" w:rsidRPr="009B3301">
        <w:rPr>
          <w:rFonts w:ascii="mylotus" w:hAnsi="mylotus"/>
          <w:b/>
          <w:bCs/>
          <w:sz w:val="34"/>
          <w:szCs w:val="34"/>
          <w:rtl/>
        </w:rPr>
        <w:t>:</w:t>
      </w:r>
      <w:r w:rsidR="009B3301">
        <w:rPr>
          <w:rFonts w:ascii="mylotus" w:hAnsi="mylotus"/>
          <w:sz w:val="34"/>
          <w:szCs w:val="34"/>
          <w:rtl/>
        </w:rPr>
        <w:t xml:space="preserve"> أي حقيقة المنشأ العقدي وحدوده</w:t>
      </w:r>
      <w:r w:rsidR="004A08C5">
        <w:rPr>
          <w:rFonts w:ascii="mylotus" w:hAnsi="mylotus" w:hint="cs"/>
          <w:sz w:val="34"/>
          <w:szCs w:val="34"/>
          <w:rtl/>
        </w:rPr>
        <w:t xml:space="preserve"> -</w:t>
      </w:r>
      <w:r w:rsidR="009B3301" w:rsidRPr="009B3301">
        <w:rPr>
          <w:rFonts w:ascii="mylotus" w:hAnsi="mylotus"/>
          <w:sz w:val="34"/>
          <w:szCs w:val="34"/>
          <w:rtl/>
        </w:rPr>
        <w:t xml:space="preserve"> تنقيحا</w:t>
      </w:r>
      <w:r w:rsidR="009B3301">
        <w:rPr>
          <w:rFonts w:ascii="mylotus" w:hAnsi="mylotus" w:hint="cs"/>
          <w:sz w:val="34"/>
          <w:szCs w:val="34"/>
          <w:rtl/>
        </w:rPr>
        <w:t xml:space="preserve">ً </w:t>
      </w:r>
      <w:r w:rsidR="009B3301" w:rsidRPr="009B3301">
        <w:rPr>
          <w:rFonts w:ascii="mylotus" w:hAnsi="mylotus"/>
          <w:sz w:val="34"/>
          <w:szCs w:val="34"/>
          <w:rtl/>
        </w:rPr>
        <w:t>لمطلب المحقق النائيني (قدس سره)</w:t>
      </w:r>
      <w:r w:rsidR="009B3301"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- من كون المُنشأ العقدي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 xml:space="preserve">متضمناً للتعهد </w:t>
      </w:r>
      <w:r w:rsidR="00C66064">
        <w:rPr>
          <w:rFonts w:ascii="mylotus" w:hAnsi="mylotus"/>
          <w:sz w:val="34"/>
          <w:szCs w:val="34"/>
          <w:rtl/>
        </w:rPr>
        <w:t>والالتزام</w:t>
      </w:r>
      <w:r w:rsidR="00C66064">
        <w:rPr>
          <w:rFonts w:ascii="mylotus" w:hAnsi="mylotus" w:hint="cs"/>
          <w:sz w:val="34"/>
          <w:szCs w:val="34"/>
          <w:rtl/>
        </w:rPr>
        <w:t>.</w:t>
      </w:r>
    </w:p>
    <w:p w14:paraId="6F60B3D1" w14:textId="7B9C4EEA" w:rsidR="009B3301" w:rsidRPr="009B3301" w:rsidRDefault="00EF31C6" w:rsidP="004A08C5">
      <w:pPr>
        <w:pStyle w:val="a0"/>
        <w:widowControl w:val="0"/>
        <w:bidi/>
        <w:spacing w:line="216" w:lineRule="auto"/>
        <w:rPr>
          <w:rFonts w:ascii="mylotus" w:hAnsi="mylotus"/>
          <w:b/>
          <w:bCs/>
          <w:sz w:val="34"/>
          <w:szCs w:val="34"/>
          <w:rtl/>
        </w:rPr>
      </w:pPr>
      <w:r>
        <w:rPr>
          <w:rFonts w:ascii="mylotus" w:hAnsi="mylotus" w:hint="cs"/>
          <w:b/>
          <w:bCs/>
          <w:sz w:val="34"/>
          <w:szCs w:val="34"/>
          <w:rtl/>
        </w:rPr>
        <w:t>ف</w:t>
      </w:r>
      <w:r w:rsidR="009B3301" w:rsidRPr="009B3301">
        <w:rPr>
          <w:rFonts w:ascii="mylotus" w:hAnsi="mylotus"/>
          <w:b/>
          <w:bCs/>
          <w:sz w:val="34"/>
          <w:szCs w:val="34"/>
          <w:rtl/>
        </w:rPr>
        <w:t>هنا عدة محتملات في تحليل كلام المحقق النائيني (قدس سره</w:t>
      </w:r>
      <w:r w:rsidR="009B3301" w:rsidRPr="009B3301">
        <w:rPr>
          <w:rFonts w:ascii="mylotus" w:hAnsi="mylotus" w:hint="cs"/>
          <w:b/>
          <w:bCs/>
          <w:sz w:val="34"/>
          <w:szCs w:val="34"/>
          <w:rtl/>
        </w:rPr>
        <w:t>):</w:t>
      </w:r>
    </w:p>
    <w:p w14:paraId="6F68BB64" w14:textId="65B681FF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b/>
          <w:bCs/>
          <w:sz w:val="34"/>
          <w:szCs w:val="34"/>
          <w:rtl/>
        </w:rPr>
        <w:t>المحتمل الأول:</w:t>
      </w:r>
      <w:r w:rsidRPr="009B3301">
        <w:rPr>
          <w:rFonts w:ascii="mylotus" w:hAnsi="mylotus"/>
          <w:sz w:val="34"/>
          <w:szCs w:val="34"/>
          <w:rtl/>
        </w:rPr>
        <w:t xml:space="preserve"> ما ذكره بعض الأعلام (رحمه الله)</w:t>
      </w:r>
      <w:r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[</w:t>
      </w:r>
      <w:r>
        <w:rPr>
          <w:rFonts w:ascii="mylotus" w:hAnsi="mylotus"/>
          <w:sz w:val="34"/>
          <w:szCs w:val="34"/>
          <w:rtl/>
        </w:rPr>
        <w:t>في كتابه مباحث عامة حول العقد</w:t>
      </w:r>
      <w:r>
        <w:rPr>
          <w:rFonts w:ascii="mylotus" w:hAnsi="mylotus" w:hint="c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ص20</w:t>
      </w:r>
      <w:r>
        <w:rPr>
          <w:rFonts w:ascii="mylotus" w:hAnsi="mylotus" w:hint="cs"/>
          <w:sz w:val="34"/>
          <w:szCs w:val="34"/>
          <w:rtl/>
        </w:rPr>
        <w:t>]: (</w:t>
      </w:r>
      <w:r w:rsidRPr="009B3301">
        <w:rPr>
          <w:rFonts w:ascii="mylotus" w:hAnsi="mylotus"/>
          <w:sz w:val="34"/>
          <w:szCs w:val="34"/>
          <w:rtl/>
        </w:rPr>
        <w:t>أن يكون العقد إنشاء لأمرين</w:t>
      </w:r>
      <w:r>
        <w:rPr>
          <w:rFonts w:ascii="mylotus" w:hAnsi="mylotus" w:hint="cs"/>
          <w:sz w:val="34"/>
          <w:szCs w:val="34"/>
          <w:rtl/>
        </w:rPr>
        <w:t>:</w:t>
      </w:r>
      <w:r w:rsidRPr="009B3301">
        <w:rPr>
          <w:rFonts w:ascii="mylotus" w:hAnsi="mylotus"/>
          <w:sz w:val="34"/>
          <w:szCs w:val="34"/>
          <w:rtl/>
        </w:rPr>
        <w:t xml:space="preserve"> تمليك والتزام، فكما أنشأ التمليك أنشأ الالتزام بالتمليك</w:t>
      </w:r>
      <w:r>
        <w:rPr>
          <w:rFonts w:ascii="mylotus" w:hAnsi="mylotus" w:hint="cs"/>
          <w:sz w:val="34"/>
          <w:szCs w:val="34"/>
          <w:rtl/>
        </w:rPr>
        <w:t>).</w:t>
      </w:r>
    </w:p>
    <w:p w14:paraId="1FE9EA09" w14:textId="6F973600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8B2173">
        <w:rPr>
          <w:rFonts w:ascii="mylotus" w:hAnsi="mylotus"/>
          <w:b/>
          <w:bCs/>
          <w:sz w:val="34"/>
          <w:szCs w:val="34"/>
          <w:rtl/>
        </w:rPr>
        <w:t>وأورد عليه:</w:t>
      </w:r>
      <w:r w:rsidRPr="009B3301">
        <w:rPr>
          <w:rFonts w:ascii="mylotus" w:hAnsi="mylotus"/>
          <w:sz w:val="34"/>
          <w:szCs w:val="34"/>
          <w:rtl/>
        </w:rPr>
        <w:t xml:space="preserve"> بأن هذا يستلزم اشتمال العقد على إنشاء للتمليك وإنشاء للالتزام، وهذا خلاف المرتكز العقلائي؛ من أن الع</w:t>
      </w:r>
      <w:r>
        <w:rPr>
          <w:rFonts w:ascii="mylotus" w:hAnsi="mylotus"/>
          <w:sz w:val="34"/>
          <w:szCs w:val="34"/>
          <w:rtl/>
        </w:rPr>
        <w:t>قد لا يشتمل إلا على إنشاء واحد</w:t>
      </w:r>
      <w:r w:rsidRPr="009B3301">
        <w:rPr>
          <w:rFonts w:ascii="mylotus" w:hAnsi="mylotus"/>
          <w:sz w:val="34"/>
          <w:szCs w:val="34"/>
          <w:rtl/>
        </w:rPr>
        <w:t xml:space="preserve"> ومُنشأ واحد، لا </w:t>
      </w:r>
      <w:r>
        <w:rPr>
          <w:rFonts w:ascii="mylotus" w:hAnsi="mylotus"/>
          <w:sz w:val="34"/>
          <w:szCs w:val="34"/>
          <w:rtl/>
        </w:rPr>
        <w:t>أن هناك إنشاء للتمليك والالتزام</w:t>
      </w:r>
      <w:r w:rsidRPr="009B3301">
        <w:rPr>
          <w:rFonts w:ascii="mylotus" w:hAnsi="mylotus"/>
          <w:sz w:val="34"/>
          <w:szCs w:val="34"/>
          <w:rtl/>
        </w:rPr>
        <w:t>؛ بل قد يقال إن ذلك ممتنع بعين نكتة امتناع استعمال اللفظ في أكثر من معنى، فإن النكتة هي أنه لا يعقل فناء اللفظ الواحد في استعمال واحد في معنيين مستقلين</w:t>
      </w:r>
      <w:r w:rsidR="00D0504B">
        <w:rPr>
          <w:rFonts w:ascii="mylotus" w:hAnsi="mylotus"/>
          <w:sz w:val="34"/>
          <w:szCs w:val="34"/>
          <w:rtl/>
        </w:rPr>
        <w:t>،</w:t>
      </w:r>
      <w:r>
        <w:rPr>
          <w:rFonts w:ascii="mylotus" w:hAnsi="mylotus" w:hint="c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و</w:t>
      </w:r>
      <w:r w:rsidRPr="009B3301">
        <w:rPr>
          <w:rFonts w:ascii="mylotus" w:hAnsi="mylotus"/>
          <w:sz w:val="34"/>
          <w:szCs w:val="34"/>
          <w:rtl/>
        </w:rPr>
        <w:t>كذلك الحال في محل البحث</w:t>
      </w:r>
      <w:r w:rsidR="00D0504B">
        <w:rPr>
          <w:rFonts w:ascii="mylotus" w:hAnsi="mylotu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حيث لا يعق</w:t>
      </w:r>
      <w:r>
        <w:rPr>
          <w:rFonts w:ascii="mylotus" w:hAnsi="mylotus"/>
          <w:sz w:val="34"/>
          <w:szCs w:val="34"/>
          <w:rtl/>
        </w:rPr>
        <w:t>ل فناء إنشاء واحد، في آنٍ واحد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سو</w:t>
      </w:r>
      <w:r>
        <w:rPr>
          <w:rFonts w:ascii="mylotus" w:hAnsi="mylotus" w:hint="cs"/>
          <w:sz w:val="34"/>
          <w:szCs w:val="34"/>
          <w:rtl/>
        </w:rPr>
        <w:t>ا</w:t>
      </w:r>
      <w:r w:rsidRPr="009B3301">
        <w:rPr>
          <w:rFonts w:ascii="mylotus" w:hAnsi="mylotus"/>
          <w:sz w:val="34"/>
          <w:szCs w:val="34"/>
          <w:rtl/>
        </w:rPr>
        <w:t>ء أبرز باللفظ</w:t>
      </w:r>
      <w:r>
        <w:rPr>
          <w:rFonts w:ascii="mylotus" w:hAnsi="mylotus"/>
          <w:sz w:val="34"/>
          <w:szCs w:val="34"/>
          <w:rtl/>
        </w:rPr>
        <w:t xml:space="preserve"> أم بالكتابة أو الإشارة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في منش</w:t>
      </w:r>
      <w:r>
        <w:rPr>
          <w:rFonts w:ascii="mylotus" w:hAnsi="mylotus" w:hint="cs"/>
          <w:sz w:val="34"/>
          <w:szCs w:val="34"/>
          <w:rtl/>
        </w:rPr>
        <w:t>أ</w:t>
      </w:r>
      <w:r w:rsidRPr="009B3301">
        <w:rPr>
          <w:rFonts w:ascii="mylotus" w:hAnsi="mylotus"/>
          <w:sz w:val="34"/>
          <w:szCs w:val="34"/>
          <w:rtl/>
        </w:rPr>
        <w:t>ين متغايرين</w:t>
      </w:r>
      <w:r w:rsidRPr="009B3301">
        <w:rPr>
          <w:rFonts w:ascii="mylotus" w:hAnsi="mylotus"/>
          <w:sz w:val="34"/>
          <w:szCs w:val="34"/>
        </w:rPr>
        <w:t>.</w:t>
      </w:r>
    </w:p>
    <w:p w14:paraId="6BC414BD" w14:textId="1E472F08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b/>
          <w:bCs/>
          <w:sz w:val="34"/>
          <w:szCs w:val="34"/>
          <w:rtl/>
        </w:rPr>
        <w:t>المحتمل الثاني:</w:t>
      </w:r>
      <w:r w:rsidRPr="009B3301">
        <w:rPr>
          <w:rFonts w:ascii="mylotus" w:hAnsi="mylotus"/>
          <w:sz w:val="34"/>
          <w:szCs w:val="34"/>
          <w:rtl/>
        </w:rPr>
        <w:t xml:space="preserve"> أن المُنشأ واحد، إلا أن المُنشأ هو الالتزام بالتمليك، فليس المُنشأ هو التمليك، وليس المُنشأ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هو الالتزام؛ بل المُنشأ هو المقيد وهو الالتزام بالتمليك</w:t>
      </w:r>
      <w:r w:rsidRPr="009B3301">
        <w:rPr>
          <w:rFonts w:ascii="mylotus" w:hAnsi="mylotus"/>
          <w:sz w:val="34"/>
          <w:szCs w:val="34"/>
        </w:rPr>
        <w:t>.</w:t>
      </w:r>
    </w:p>
    <w:p w14:paraId="63293B17" w14:textId="0B3757B8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>وهذا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ما أشكل عليه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[في مباحث عامة حول العقد، ص19]</w:t>
      </w:r>
      <w:r w:rsidR="00D0504B">
        <w:rPr>
          <w:rFonts w:ascii="mylotus" w:hAnsi="mylotus"/>
          <w:sz w:val="34"/>
          <w:szCs w:val="34"/>
          <w:rtl/>
        </w:rPr>
        <w:t>: (</w:t>
      </w:r>
      <w:r w:rsidRPr="009B3301">
        <w:rPr>
          <w:rFonts w:ascii="mylotus" w:hAnsi="mylotus"/>
          <w:sz w:val="34"/>
          <w:szCs w:val="34"/>
          <w:rtl/>
        </w:rPr>
        <w:t xml:space="preserve">أن الثابت فقهياً </w:t>
      </w:r>
      <w:proofErr w:type="spellStart"/>
      <w:r w:rsidRPr="009B3301">
        <w:rPr>
          <w:rFonts w:ascii="mylotus" w:hAnsi="mylotus"/>
          <w:sz w:val="34"/>
          <w:szCs w:val="34"/>
          <w:rtl/>
        </w:rPr>
        <w:t>وعقلائياً</w:t>
      </w:r>
      <w:proofErr w:type="spellEnd"/>
      <w:r w:rsidRPr="009B3301">
        <w:rPr>
          <w:rFonts w:ascii="mylotus" w:hAnsi="mylotus"/>
          <w:sz w:val="34"/>
          <w:szCs w:val="34"/>
          <w:rtl/>
        </w:rPr>
        <w:t xml:space="preserve"> أن الحاصل بالعقد هو التمليك، لا الالتزام بإيجاد التمليك</w:t>
      </w:r>
      <w:r w:rsidR="004A08C5">
        <w:rPr>
          <w:rFonts w:ascii="mylotus" w:hAnsi="mylotus" w:hint="cs"/>
          <w:sz w:val="34"/>
          <w:szCs w:val="34"/>
          <w:rtl/>
        </w:rPr>
        <w:t>)،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فإن</w:t>
      </w:r>
      <w:r>
        <w:rPr>
          <w:rFonts w:ascii="mylotus" w:hAnsi="mylotus"/>
          <w:sz w:val="34"/>
          <w:szCs w:val="34"/>
          <w:rtl/>
        </w:rPr>
        <w:t>ه متى تم عقد البيع</w:t>
      </w:r>
      <w:r w:rsidRPr="009B3301">
        <w:rPr>
          <w:rFonts w:ascii="mylotus" w:hAnsi="mylotus"/>
          <w:sz w:val="34"/>
          <w:szCs w:val="34"/>
          <w:rtl/>
        </w:rPr>
        <w:t xml:space="preserve"> أو عقد</w:t>
      </w:r>
      <w:r>
        <w:rPr>
          <w:rFonts w:ascii="mylotus" w:hAnsi="mylotus"/>
          <w:sz w:val="34"/>
          <w:szCs w:val="34"/>
          <w:rtl/>
        </w:rPr>
        <w:t xml:space="preserve"> الإجارة فإن المتحقق في وعاء ال</w:t>
      </w:r>
      <w:r>
        <w:rPr>
          <w:rFonts w:ascii="mylotus" w:hAnsi="mylotus" w:hint="cs"/>
          <w:sz w:val="34"/>
          <w:szCs w:val="34"/>
          <w:rtl/>
        </w:rPr>
        <w:t>ا</w:t>
      </w:r>
      <w:r w:rsidRPr="009B3301">
        <w:rPr>
          <w:rFonts w:ascii="mylotus" w:hAnsi="mylotus"/>
          <w:sz w:val="34"/>
          <w:szCs w:val="34"/>
          <w:rtl/>
        </w:rPr>
        <w:t>عتبار العقلائي هو تمليك العين أو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تمليك المنفعة بعوض</w:t>
      </w:r>
      <w:r w:rsidR="00D0504B">
        <w:rPr>
          <w:rFonts w:ascii="mylotus" w:hAnsi="mylotu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لا أن الذي حصل هو الالتزام بالتمليك</w:t>
      </w:r>
      <w:r w:rsidRPr="009B3301">
        <w:rPr>
          <w:rFonts w:ascii="mylotus" w:hAnsi="mylotus"/>
          <w:sz w:val="34"/>
          <w:szCs w:val="34"/>
        </w:rPr>
        <w:t>.</w:t>
      </w:r>
    </w:p>
    <w:p w14:paraId="3FCCCD8D" w14:textId="7763FD2D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>فهذا المحتمل كسابقه مناف للمرتكزات</w:t>
      </w:r>
      <w:r w:rsidR="00D0504B">
        <w:rPr>
          <w:rFonts w:ascii="mylotus" w:hAnsi="mylotus"/>
          <w:sz w:val="34"/>
          <w:szCs w:val="34"/>
          <w:rtl/>
        </w:rPr>
        <w:t>.</w:t>
      </w:r>
    </w:p>
    <w:p w14:paraId="2EF67F27" w14:textId="7C24A132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b/>
          <w:bCs/>
          <w:sz w:val="34"/>
          <w:szCs w:val="34"/>
          <w:rtl/>
        </w:rPr>
        <w:t>المحتمل الثالث:</w:t>
      </w:r>
      <w:r w:rsidRPr="009B3301">
        <w:rPr>
          <w:rFonts w:ascii="mylotus" w:hAnsi="mylotus"/>
          <w:sz w:val="34"/>
          <w:szCs w:val="34"/>
          <w:rtl/>
        </w:rPr>
        <w:t xml:space="preserve"> وهو ما يظهر من تقري</w:t>
      </w:r>
      <w:r>
        <w:rPr>
          <w:rFonts w:ascii="mylotus" w:hAnsi="mylotus"/>
          <w:sz w:val="34"/>
          <w:szCs w:val="34"/>
          <w:rtl/>
        </w:rPr>
        <w:t>ر بحث المحقق النائيني (قدس سره)</w:t>
      </w:r>
      <w:r w:rsidRPr="009B3301">
        <w:rPr>
          <w:rFonts w:ascii="mylotus" w:hAnsi="mylotus"/>
          <w:sz w:val="34"/>
          <w:szCs w:val="34"/>
          <w:rtl/>
        </w:rPr>
        <w:t xml:space="preserve"> [في منية الطالب في شرح المكاسب ج2 ص3] [ج3 ص4، تحقيق مؤسسة النشر الإسلامي]، قال (قدس سره) -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في ضمن الكلام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-: (وتوضيح ذلك: أنّ ما ينشأ بالعقود إمّا مدلول مطابقيّ وإمّا التزاميّ</w:t>
      </w:r>
      <w:r w:rsidRPr="009B3301">
        <w:rPr>
          <w:rFonts w:ascii="mylotus" w:hAnsi="mylotus"/>
          <w:sz w:val="34"/>
          <w:szCs w:val="34"/>
        </w:rPr>
        <w:t>.</w:t>
      </w:r>
    </w:p>
    <w:p w14:paraId="4178C858" w14:textId="6B7AE1E4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>أمّا المطابقيّ فهو في البيع نفس تبديل المال بالم</w:t>
      </w:r>
      <w:r>
        <w:rPr>
          <w:rFonts w:ascii="mylotus" w:hAnsi="mylotus"/>
          <w:sz w:val="34"/>
          <w:szCs w:val="34"/>
          <w:rtl/>
        </w:rPr>
        <w:t>ال، الّذي يحصل بالمعاطاة أيضاً</w:t>
      </w:r>
      <w:r w:rsidR="004A08C5">
        <w:rPr>
          <w:rFonts w:ascii="mylotus" w:hAnsi="mylotus"/>
          <w:sz w:val="34"/>
          <w:szCs w:val="34"/>
          <w:rtl/>
        </w:rPr>
        <w:t xml:space="preserve"> [</w:t>
      </w:r>
      <w:r w:rsidRPr="009B3301">
        <w:rPr>
          <w:rFonts w:ascii="mylotus" w:hAnsi="mylotus"/>
          <w:sz w:val="34"/>
          <w:szCs w:val="34"/>
          <w:rtl/>
        </w:rPr>
        <w:t>أي كما يحصل باللفظ يحصل بالمعاطاة</w:t>
      </w:r>
      <w:r>
        <w:rPr>
          <w:rFonts w:ascii="mylotus" w:hAnsi="mylotus" w:hint="cs"/>
          <w:sz w:val="34"/>
          <w:szCs w:val="34"/>
          <w:rtl/>
        </w:rPr>
        <w:t>].</w:t>
      </w:r>
    </w:p>
    <w:p w14:paraId="1CF85DED" w14:textId="661D8D90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lastRenderedPageBreak/>
        <w:t>وأمّا الالتزاميّ فهو التعهد بما أنشأ [يعني أن ما أنشأه شيء والتعهد به شيء آخر، لا أنهما أمرٌ واحد] والالتزام به، وهذا هو العقد والعهد الموثّق، لا المعنى المطابقي [يعني أن المعنى المطابقي لا يكفي في كون المعاملة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عقداً؛ وإنما يكفي في كونه</w:t>
      </w:r>
      <w:r w:rsidR="004A08C5">
        <w:rPr>
          <w:rFonts w:ascii="mylotus" w:hAnsi="mylotus"/>
          <w:sz w:val="34"/>
          <w:szCs w:val="34"/>
          <w:rtl/>
        </w:rPr>
        <w:t>ا بيعاً] الحاصل بالفعل أيضاً [</w:t>
      </w:r>
      <w:r w:rsidRPr="009B3301">
        <w:rPr>
          <w:rFonts w:ascii="mylotus" w:hAnsi="mylotus"/>
          <w:sz w:val="34"/>
          <w:szCs w:val="34"/>
          <w:rtl/>
        </w:rPr>
        <w:t>أي بالمعاطاة</w:t>
      </w:r>
      <w:r>
        <w:rPr>
          <w:rFonts w:ascii="mylotus" w:hAnsi="mylotus" w:hint="cs"/>
          <w:sz w:val="34"/>
          <w:szCs w:val="34"/>
          <w:rtl/>
        </w:rPr>
        <w:t xml:space="preserve">]. </w:t>
      </w:r>
      <w:r w:rsidRPr="009B3301">
        <w:rPr>
          <w:rFonts w:ascii="mylotus" w:hAnsi="mylotus"/>
          <w:sz w:val="34"/>
          <w:szCs w:val="34"/>
          <w:rtl/>
        </w:rPr>
        <w:t>ولذا قلنا في باب المعاطاة بأنّها بيع لا عقد، [لأنها لا تتضمن تعهداً والتزاماً، وإن تضمنت المبادلة بين مالٍ ومال]، وقلنا بأنّها تفيد الجواز، لعدم تحقّق ما يوجب اللزوم فيها</w:t>
      </w:r>
      <w:r>
        <w:rPr>
          <w:rFonts w:ascii="mylotus" w:hAnsi="mylotus" w:hint="cs"/>
          <w:sz w:val="34"/>
          <w:szCs w:val="34"/>
          <w:rtl/>
        </w:rPr>
        <w:t>).</w:t>
      </w:r>
    </w:p>
    <w:p w14:paraId="7F38025E" w14:textId="77777777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>ثم ذكر المَنشأ العقلائي الذي سبق ذكره في بيان مقام الإثبات</w:t>
      </w:r>
      <w:r w:rsidRPr="009B3301">
        <w:rPr>
          <w:rFonts w:ascii="mylotus" w:hAnsi="mylotus"/>
          <w:sz w:val="34"/>
          <w:szCs w:val="34"/>
        </w:rPr>
        <w:t>.</w:t>
      </w:r>
    </w:p>
    <w:p w14:paraId="22BFD5F9" w14:textId="05991ACB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 xml:space="preserve">إلى أن قال (قدس سره) [في ج3 ص5، تحقيق مؤسسة النشر الإسلامي]: (وبعبارة اُخرى في المعاوضات العقديّة مدلولان: المطابقيّ وهو بيع، والالتزاميّ وهو عقد. ووجوب الوفاء يناسب لحاظ العقديّة [يعني أن وجوب الوفاء بالبيع لا من حيث كونه بيعاً؛ بل من حيث كون عقداً، أي لا من حيث مدلوله المطابقي؛ بل من حيث مدلوله </w:t>
      </w:r>
      <w:r w:rsidR="004A08C5">
        <w:rPr>
          <w:rFonts w:ascii="mylotus" w:hAnsi="mylotus"/>
          <w:sz w:val="34"/>
          <w:szCs w:val="34"/>
          <w:rtl/>
        </w:rPr>
        <w:t>الالتزامي] كما هو صريح الآية [</w:t>
      </w:r>
      <w:r w:rsidRPr="009B3301">
        <w:rPr>
          <w:rFonts w:ascii="mylotus" w:hAnsi="mylotus"/>
          <w:sz w:val="34"/>
          <w:szCs w:val="34"/>
          <w:rtl/>
        </w:rPr>
        <w:t>حيث إن موضوع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الآية هو العقد: (أَوْفُوا بِالْعُقُودِ</w:t>
      </w:r>
      <w:r w:rsidR="004A08C5">
        <w:rPr>
          <w:rFonts w:ascii="mylotus" w:hAnsi="mylotus" w:hint="cs"/>
          <w:sz w:val="34"/>
          <w:szCs w:val="34"/>
          <w:rtl/>
        </w:rPr>
        <w:t>)</w:t>
      </w:r>
      <w:r>
        <w:rPr>
          <w:rFonts w:ascii="mylotus" w:hAnsi="mylotus" w:hint="cs"/>
          <w:sz w:val="34"/>
          <w:szCs w:val="34"/>
          <w:rtl/>
        </w:rPr>
        <w:t>]).</w:t>
      </w:r>
    </w:p>
    <w:p w14:paraId="348074AB" w14:textId="4C56E296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>فإذا كان اقتضاؤه اللزوم -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من جهة إن</w:t>
      </w:r>
      <w:r w:rsidR="004A08C5">
        <w:rPr>
          <w:rFonts w:ascii="mylotus" w:hAnsi="mylotus"/>
          <w:sz w:val="34"/>
          <w:szCs w:val="34"/>
          <w:rtl/>
        </w:rPr>
        <w:t>شاء العاقد المدلول الالتزاميّ [</w:t>
      </w:r>
      <w:r w:rsidRPr="009B3301">
        <w:rPr>
          <w:rFonts w:ascii="mylotus" w:hAnsi="mylotus"/>
          <w:sz w:val="34"/>
          <w:szCs w:val="34"/>
          <w:rtl/>
        </w:rPr>
        <w:t>وهذا يعني أن الالتزام يحتاج إلى إنشاء] والتزامه به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- فلو ثبت الخيار في ع</w:t>
      </w:r>
      <w:r w:rsidR="004A08C5">
        <w:rPr>
          <w:rFonts w:ascii="mylotus" w:hAnsi="mylotus"/>
          <w:sz w:val="34"/>
          <w:szCs w:val="34"/>
          <w:rtl/>
        </w:rPr>
        <w:t>قد بأحد الوجوه الثلاثة الآتية [</w:t>
      </w:r>
      <w:r w:rsidRPr="009B3301">
        <w:rPr>
          <w:rFonts w:ascii="mylotus" w:hAnsi="mylotus"/>
          <w:sz w:val="34"/>
          <w:szCs w:val="34"/>
          <w:rtl/>
        </w:rPr>
        <w:t>خيار الغبن، أو خيار العيب، أو خيار تبعض الصفقة] فإنه يوجب تخصيص الآية الشريفة</w:t>
      </w:r>
      <w:r>
        <w:rPr>
          <w:rFonts w:ascii="mylotus" w:hAnsi="mylotus" w:hint="cs"/>
          <w:sz w:val="34"/>
          <w:szCs w:val="34"/>
          <w:rtl/>
        </w:rPr>
        <w:t>).</w:t>
      </w:r>
    </w:p>
    <w:p w14:paraId="3F089B57" w14:textId="4A449343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>إلى أن قال: (وبعبارة اُخرى ثبوت الخيار لأحد معناه أنّ اختيار المدلول الالتزاميّ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المُنشأ من المتعاقدين وضعاً ورفعاً بيد ذي الخيار، فله ردّ ما ألزمه على نفسه [أي يستطيع أن يرفع يده عن التعهد الذي تعهد به]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من إنفاذ العقد [وهذا واضح الدلالة على المنشأ العقدي شيء، وإنفاذه بمعنى الالتزام به شيء آخر] فينحلّ العقد، وله إبقاء ما التزم به طرفه له فيستقرّ العقد</w:t>
      </w:r>
      <w:r>
        <w:rPr>
          <w:rFonts w:ascii="mylotus" w:hAnsi="mylotus" w:hint="cs"/>
          <w:sz w:val="34"/>
          <w:szCs w:val="34"/>
          <w:rtl/>
        </w:rPr>
        <w:t>)</w:t>
      </w:r>
      <w:r w:rsidRPr="009B3301">
        <w:rPr>
          <w:rFonts w:ascii="mylotus" w:hAnsi="mylotus"/>
          <w:sz w:val="34"/>
          <w:szCs w:val="34"/>
        </w:rPr>
        <w:t>.</w:t>
      </w:r>
    </w:p>
    <w:p w14:paraId="239D57E3" w14:textId="3E8837D8" w:rsidR="00D0504B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t xml:space="preserve">وظاهر هذا الكلام أن هناك أمرين: مُنشأ </w:t>
      </w:r>
      <w:proofErr w:type="spellStart"/>
      <w:r w:rsidRPr="009B3301">
        <w:rPr>
          <w:rFonts w:ascii="mylotus" w:hAnsi="mylotus"/>
          <w:sz w:val="34"/>
          <w:szCs w:val="34"/>
          <w:rtl/>
        </w:rPr>
        <w:t>معامليا</w:t>
      </w:r>
      <w:r>
        <w:rPr>
          <w:rFonts w:ascii="mylotus" w:hAnsi="mylotus" w:hint="cs"/>
          <w:sz w:val="34"/>
          <w:szCs w:val="34"/>
          <w:rtl/>
        </w:rPr>
        <w:t>ً</w:t>
      </w:r>
      <w:proofErr w:type="spellEnd"/>
      <w:r w:rsidRPr="009B3301">
        <w:rPr>
          <w:rFonts w:ascii="mylotus" w:hAnsi="mylotus"/>
          <w:sz w:val="34"/>
          <w:szCs w:val="34"/>
          <w:rtl/>
        </w:rPr>
        <w:t xml:space="preserve"> وهو التمليك، وتعهداً، وأن التعهد خاضعٌ لإنشاءٍ في حد ذاته، مضافاً إلى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التمليك</w:t>
      </w:r>
      <w:r w:rsidR="00D0504B">
        <w:rPr>
          <w:rFonts w:ascii="mylotus" w:hAnsi="mylotus" w:hint="c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سو</w:t>
      </w:r>
      <w:r w:rsidR="00D0504B">
        <w:rPr>
          <w:rFonts w:ascii="mylotus" w:hAnsi="mylotus"/>
          <w:sz w:val="34"/>
          <w:szCs w:val="34"/>
          <w:rtl/>
        </w:rPr>
        <w:t>اء كان تمليك العين كما في البيع</w:t>
      </w:r>
      <w:r w:rsidRPr="009B3301">
        <w:rPr>
          <w:rFonts w:ascii="mylotus" w:hAnsi="mylotus"/>
          <w:sz w:val="34"/>
          <w:szCs w:val="34"/>
          <w:rtl/>
        </w:rPr>
        <w:t xml:space="preserve"> أو تمليك المنفعة</w:t>
      </w:r>
      <w:r w:rsidR="00D0504B">
        <w:rPr>
          <w:rFonts w:ascii="mylotus" w:hAnsi="mylotus" w:hint="cs"/>
          <w:sz w:val="34"/>
          <w:szCs w:val="34"/>
          <w:rtl/>
        </w:rPr>
        <w:t>.</w:t>
      </w:r>
    </w:p>
    <w:p w14:paraId="1652B613" w14:textId="358801EF" w:rsidR="00D0504B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D0504B">
        <w:rPr>
          <w:rFonts w:ascii="mylotus" w:hAnsi="mylotus"/>
          <w:b/>
          <w:bCs/>
          <w:sz w:val="34"/>
          <w:szCs w:val="34"/>
          <w:rtl/>
        </w:rPr>
        <w:t>ويلاحظ على ما</w:t>
      </w:r>
      <w:r w:rsidRPr="00D0504B">
        <w:rPr>
          <w:rFonts w:ascii="mylotus" w:hAnsi="mylotus" w:hint="cs"/>
          <w:b/>
          <w:bCs/>
          <w:sz w:val="34"/>
          <w:szCs w:val="34"/>
          <w:rtl/>
        </w:rPr>
        <w:t xml:space="preserve"> </w:t>
      </w:r>
      <w:r w:rsidRPr="00D0504B">
        <w:rPr>
          <w:rFonts w:ascii="mylotus" w:hAnsi="mylotus"/>
          <w:b/>
          <w:bCs/>
          <w:sz w:val="34"/>
          <w:szCs w:val="34"/>
          <w:rtl/>
        </w:rPr>
        <w:t>أفيد:</w:t>
      </w:r>
      <w:r w:rsidRPr="009B3301">
        <w:rPr>
          <w:rFonts w:ascii="mylotus" w:hAnsi="mylotus"/>
          <w:sz w:val="34"/>
          <w:szCs w:val="34"/>
          <w:rtl/>
        </w:rPr>
        <w:t xml:space="preserve"> أن الوجدان العرفي </w:t>
      </w:r>
      <w:proofErr w:type="spellStart"/>
      <w:r w:rsidRPr="009B3301">
        <w:rPr>
          <w:rFonts w:ascii="mylotus" w:hAnsi="mylotus"/>
          <w:sz w:val="34"/>
          <w:szCs w:val="34"/>
          <w:rtl/>
        </w:rPr>
        <w:t>والعقلائي</w:t>
      </w:r>
      <w:proofErr w:type="spellEnd"/>
      <w:r w:rsidRPr="009B3301">
        <w:rPr>
          <w:rFonts w:ascii="mylotus" w:hAnsi="mylotus"/>
          <w:sz w:val="34"/>
          <w:szCs w:val="34"/>
          <w:rtl/>
        </w:rPr>
        <w:t xml:space="preserve"> على خلاف التحليل المزبور</w:t>
      </w:r>
      <w:r w:rsidR="00D0504B">
        <w:rPr>
          <w:rFonts w:ascii="mylotus" w:hAnsi="mylotu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وبيان ذلك: بذكر عدة منبهات</w:t>
      </w:r>
      <w:r w:rsidR="00D0504B">
        <w:rPr>
          <w:rFonts w:ascii="mylotus" w:hAnsi="mylotus" w:hint="cs"/>
          <w:sz w:val="34"/>
          <w:szCs w:val="34"/>
          <w:rtl/>
        </w:rPr>
        <w:t>:</w:t>
      </w:r>
    </w:p>
    <w:p w14:paraId="4520B6D9" w14:textId="0B19E9A2" w:rsidR="009B3301" w:rsidRPr="009B3301" w:rsidRDefault="00D0504B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D0504B">
        <w:rPr>
          <w:rFonts w:ascii="mylotus" w:hAnsi="mylotus"/>
          <w:b/>
          <w:bCs/>
          <w:sz w:val="34"/>
          <w:szCs w:val="34"/>
          <w:rtl/>
        </w:rPr>
        <w:t>أحدها:</w:t>
      </w:r>
      <w:r>
        <w:rPr>
          <w:rFonts w:ascii="mylotus" w:hAnsi="mylotu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أن مقتضى 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أفيد أنه حتى في البيع الجائز بحكم الشارع لأجل خيار المجلس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أو خيار الحيوان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أو ا</w:t>
      </w:r>
      <w:r>
        <w:rPr>
          <w:rFonts w:ascii="mylotus" w:hAnsi="mylotus"/>
          <w:sz w:val="34"/>
          <w:szCs w:val="34"/>
          <w:rtl/>
        </w:rPr>
        <w:t>لخيارات الأخرى مع التفات المتبا</w:t>
      </w:r>
      <w:r>
        <w:rPr>
          <w:rFonts w:ascii="mylotus" w:hAnsi="mylotus" w:hint="cs"/>
          <w:sz w:val="34"/>
          <w:szCs w:val="34"/>
          <w:rtl/>
        </w:rPr>
        <w:t>ي</w:t>
      </w:r>
      <w:r w:rsidR="009B3301" w:rsidRPr="009B3301">
        <w:rPr>
          <w:rFonts w:ascii="mylotus" w:hAnsi="mylotus"/>
          <w:sz w:val="34"/>
          <w:szCs w:val="34"/>
          <w:rtl/>
        </w:rPr>
        <w:t>عين لذلك</w:t>
      </w:r>
      <w:r>
        <w:rPr>
          <w:rFonts w:ascii="mylotus" w:hAnsi="mylotus"/>
          <w:sz w:val="34"/>
          <w:szCs w:val="34"/>
          <w:rtl/>
        </w:rPr>
        <w:t>، يكون البيع متضمنا لل</w:t>
      </w:r>
      <w:r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>لتزام والتعهد بعدم الفسخ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غايته أن استعمال الخيار من قبل م</w:t>
      </w:r>
      <w:r>
        <w:rPr>
          <w:rFonts w:ascii="mylotus" w:hAnsi="mylotus"/>
          <w:sz w:val="34"/>
          <w:szCs w:val="34"/>
          <w:rtl/>
        </w:rPr>
        <w:t>ن له الخيار رفع لما أنشأه من ال</w:t>
      </w:r>
      <w:r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>لتزام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كما أنه في صورة جعل </w:t>
      </w:r>
      <w:r w:rsidR="009B3301" w:rsidRPr="009B3301">
        <w:rPr>
          <w:rFonts w:ascii="mylotus" w:hAnsi="mylotus"/>
          <w:sz w:val="34"/>
          <w:szCs w:val="34"/>
          <w:rtl/>
        </w:rPr>
        <w:lastRenderedPageBreak/>
        <w:t>الخيار من قبلهما أو أحدهما فإن ذلك 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يعني انتفاء التعهد وال</w:t>
      </w:r>
      <w:r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>لتزام بعدم الفسخ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وإنما يعني أن إعمال الخيار في ظرفه رفع لليد عن 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أنشأه من ال</w:t>
      </w:r>
      <w:r>
        <w:rPr>
          <w:rFonts w:ascii="mylotus" w:hAnsi="mylotus" w:hint="cs"/>
          <w:sz w:val="34"/>
          <w:szCs w:val="34"/>
          <w:rtl/>
        </w:rPr>
        <w:t>ا</w:t>
      </w:r>
      <w:r>
        <w:rPr>
          <w:rFonts w:ascii="mylotus" w:hAnsi="mylotus"/>
          <w:sz w:val="34"/>
          <w:szCs w:val="34"/>
          <w:rtl/>
        </w:rPr>
        <w:t>لتزام على نفسه، و</w:t>
      </w:r>
      <w:r>
        <w:rPr>
          <w:rFonts w:ascii="mylotus" w:hAnsi="mylotus" w:hint="cs"/>
          <w:sz w:val="34"/>
          <w:szCs w:val="34"/>
          <w:rtl/>
        </w:rPr>
        <w:t>إ</w:t>
      </w:r>
      <w:r w:rsidR="009B3301" w:rsidRPr="009B3301">
        <w:rPr>
          <w:rFonts w:ascii="mylotus" w:hAnsi="mylotus"/>
          <w:sz w:val="34"/>
          <w:szCs w:val="34"/>
          <w:rtl/>
        </w:rPr>
        <w:t xml:space="preserve">لا لو </w:t>
      </w:r>
      <w:r>
        <w:rPr>
          <w:rFonts w:ascii="mylotus" w:hAnsi="mylotus" w:hint="cs"/>
          <w:sz w:val="34"/>
          <w:szCs w:val="34"/>
          <w:rtl/>
        </w:rPr>
        <w:t xml:space="preserve">لم </w:t>
      </w:r>
      <w:r>
        <w:rPr>
          <w:rFonts w:ascii="mylotus" w:hAnsi="mylotus"/>
          <w:sz w:val="34"/>
          <w:szCs w:val="34"/>
          <w:rtl/>
        </w:rPr>
        <w:t>يكن البيع ابتداء</w:t>
      </w:r>
      <w:r>
        <w:rPr>
          <w:rFonts w:ascii="mylotus" w:hAnsi="mylotus" w:hint="cs"/>
          <w:sz w:val="34"/>
          <w:szCs w:val="34"/>
          <w:rtl/>
        </w:rPr>
        <w:t>ً</w:t>
      </w:r>
      <w:r>
        <w:rPr>
          <w:rFonts w:ascii="mylotus" w:hAnsi="mylotus"/>
          <w:sz w:val="34"/>
          <w:szCs w:val="34"/>
          <w:rtl/>
        </w:rPr>
        <w:t xml:space="preserve"> مقرونا</w:t>
      </w:r>
      <w:r>
        <w:rPr>
          <w:rFonts w:ascii="mylotus" w:hAnsi="mylotus" w:hint="cs"/>
          <w:sz w:val="34"/>
          <w:szCs w:val="34"/>
          <w:rtl/>
        </w:rPr>
        <w:t>ً</w:t>
      </w:r>
      <w:r>
        <w:rPr>
          <w:rFonts w:ascii="mylotus" w:hAnsi="mylotus"/>
          <w:sz w:val="34"/>
          <w:szCs w:val="34"/>
          <w:rtl/>
        </w:rPr>
        <w:t xml:space="preserve"> بال</w:t>
      </w:r>
      <w:r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>لتزام والتعهد لما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كان عقدا</w:t>
      </w:r>
      <w:r>
        <w:rPr>
          <w:rFonts w:ascii="mylotus" w:hAnsi="mylotus" w:hint="cs"/>
          <w:sz w:val="34"/>
          <w:szCs w:val="34"/>
          <w:rtl/>
        </w:rPr>
        <w:t>ً،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وكان لازم ذلك خروج المعاملات الخيارية بحكم الشارع عن كونها عقداً؛ لأن العقد إنما يثبت للمعاملة بلحاظ مدلولها الالتزامي، وهو إنشاء التعهد والثبات على ما أنشأ</w:t>
      </w:r>
      <w:r w:rsidR="009B3301" w:rsidRPr="009B3301">
        <w:rPr>
          <w:rFonts w:ascii="mylotus" w:hAnsi="mylotus"/>
          <w:sz w:val="34"/>
          <w:szCs w:val="34"/>
        </w:rPr>
        <w:t>.</w:t>
      </w:r>
    </w:p>
    <w:p w14:paraId="04916C7E" w14:textId="5C4E73D1" w:rsidR="00D0504B" w:rsidRDefault="00D0504B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>
        <w:rPr>
          <w:rFonts w:ascii="mylotus" w:hAnsi="mylotus"/>
          <w:sz w:val="34"/>
          <w:szCs w:val="34"/>
          <w:rtl/>
        </w:rPr>
        <w:t>فحكم الشارع بأن العقد خياري</w:t>
      </w:r>
      <w:r w:rsidR="009B3301" w:rsidRPr="009B3301">
        <w:rPr>
          <w:rFonts w:ascii="mylotus" w:hAnsi="mylotus"/>
          <w:sz w:val="34"/>
          <w:szCs w:val="34"/>
          <w:rtl/>
        </w:rPr>
        <w:t xml:space="preserve"> كما في خيار المجلس أو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خيار العيب أو الغبن، الذي ينكشف به أن البيع منذ ولادته لم يكن لازما</w:t>
      </w:r>
      <w:r>
        <w:rPr>
          <w:rFonts w:ascii="mylotus" w:hAnsi="mylotus" w:hint="cs"/>
          <w:sz w:val="34"/>
          <w:szCs w:val="34"/>
          <w:rtl/>
        </w:rPr>
        <w:t>ً</w:t>
      </w:r>
      <w:r w:rsidR="008B2173">
        <w:rPr>
          <w:rFonts w:ascii="mylotus" w:hAnsi="mylotus"/>
          <w:sz w:val="34"/>
          <w:szCs w:val="34"/>
          <w:rtl/>
        </w:rPr>
        <w:t xml:space="preserve"> يعني أنه ليس عقدا</w:t>
      </w:r>
      <w:r w:rsidR="008B2173">
        <w:rPr>
          <w:rFonts w:ascii="mylotus" w:hAnsi="mylotus" w:hint="cs"/>
          <w:sz w:val="34"/>
          <w:szCs w:val="34"/>
          <w:rtl/>
        </w:rPr>
        <w:t>ً</w:t>
      </w:r>
      <w:r w:rsidR="009B3301" w:rsidRPr="009B3301">
        <w:rPr>
          <w:rFonts w:ascii="mylotus" w:hAnsi="mylotus"/>
          <w:sz w:val="34"/>
          <w:szCs w:val="34"/>
          <w:rtl/>
        </w:rPr>
        <w:t>، وحيث إن ذلك واضح الفساد تعين القو</w:t>
      </w:r>
      <w:r>
        <w:rPr>
          <w:rFonts w:ascii="mylotus" w:hAnsi="mylotus"/>
          <w:sz w:val="34"/>
          <w:szCs w:val="34"/>
          <w:rtl/>
        </w:rPr>
        <w:t>ل بأن كل بيع هو متضمن ابتداء لل</w:t>
      </w:r>
      <w:r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>لتزام والتعهد وإن كان خياريا</w:t>
      </w:r>
      <w:r>
        <w:rPr>
          <w:rFonts w:ascii="mylotus" w:hAnsi="mylotus" w:hint="cs"/>
          <w:sz w:val="34"/>
          <w:szCs w:val="34"/>
          <w:rtl/>
        </w:rPr>
        <w:t>ً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وهذا مما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يساعد عليه الوجدان العقلائي في المعاملات الخيارية ومنها البيع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فإن الحاصل بإنشا</w:t>
      </w:r>
      <w:r>
        <w:rPr>
          <w:rFonts w:ascii="mylotus" w:hAnsi="mylotus" w:hint="cs"/>
          <w:sz w:val="34"/>
          <w:szCs w:val="34"/>
          <w:rtl/>
        </w:rPr>
        <w:t>ئ</w:t>
      </w:r>
      <w:r w:rsidR="009B3301" w:rsidRPr="009B3301">
        <w:rPr>
          <w:rFonts w:ascii="mylotus" w:hAnsi="mylotus"/>
          <w:sz w:val="34"/>
          <w:szCs w:val="34"/>
          <w:rtl/>
        </w:rPr>
        <w:t>ه هو التمليك بعوض لا أكثر وهو موضوع لحكم الشارع أو العقلاء بالجواز لأجل ثبوت الخيار بأحد أسبابه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من دون اشتمال البيع على التزام معلق على عدم الفسخ باستعمال الخيار</w:t>
      </w:r>
      <w:r>
        <w:rPr>
          <w:rFonts w:ascii="mylotus" w:hAnsi="mylotu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بنحو الشرط المتأخر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بحيث يكون استعمال الخيار كاشفا عن عدم انعقاده من أول الأمر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ولا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على التزام منجز مشروط بقاء بعدم استعمال الخيار بنحو الشرط المقارن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بحيث يكون استعمال الخيار رفعا</w:t>
      </w:r>
      <w:r>
        <w:rPr>
          <w:rFonts w:ascii="mylotus" w:hAnsi="mylotus" w:hint="cs"/>
          <w:sz w:val="34"/>
          <w:szCs w:val="34"/>
          <w:rtl/>
        </w:rPr>
        <w:t>ً</w:t>
      </w:r>
      <w:r>
        <w:rPr>
          <w:rFonts w:ascii="mylotus" w:hAnsi="mylotus"/>
          <w:sz w:val="34"/>
          <w:szCs w:val="34"/>
          <w:rtl/>
        </w:rPr>
        <w:t xml:space="preserve"> لل</w:t>
      </w:r>
      <w:r>
        <w:rPr>
          <w:rFonts w:ascii="mylotus" w:hAnsi="mylotus" w:hint="cs"/>
          <w:sz w:val="34"/>
          <w:szCs w:val="34"/>
          <w:rtl/>
        </w:rPr>
        <w:t>ا</w:t>
      </w:r>
      <w:r>
        <w:rPr>
          <w:rFonts w:ascii="mylotus" w:hAnsi="mylotus"/>
          <w:sz w:val="34"/>
          <w:szCs w:val="34"/>
          <w:rtl/>
        </w:rPr>
        <w:t xml:space="preserve">لتزام، بل ليس مضمون العقد </w:t>
      </w:r>
      <w:r>
        <w:rPr>
          <w:rFonts w:ascii="mylotus" w:hAnsi="mylotus" w:hint="cs"/>
          <w:sz w:val="34"/>
          <w:szCs w:val="34"/>
          <w:rtl/>
        </w:rPr>
        <w:t>إ</w:t>
      </w:r>
      <w:r w:rsidR="009B3301" w:rsidRPr="009B3301">
        <w:rPr>
          <w:rFonts w:ascii="mylotus" w:hAnsi="mylotus"/>
          <w:sz w:val="34"/>
          <w:szCs w:val="34"/>
          <w:rtl/>
        </w:rPr>
        <w:t>لا التمليك بعوض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غاية 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في الباب أنه موضوع لحكم الشارع أو</w:t>
      </w:r>
      <w:r>
        <w:rPr>
          <w:rFonts w:ascii="mylotus" w:hAnsi="mylotus"/>
          <w:sz w:val="34"/>
          <w:szCs w:val="34"/>
          <w:rtl/>
        </w:rPr>
        <w:t xml:space="preserve"> العقلاء بالجواز، ف</w:t>
      </w:r>
      <w:r>
        <w:rPr>
          <w:rFonts w:ascii="mylotus" w:hAnsi="mylotus" w:hint="cs"/>
          <w:sz w:val="34"/>
          <w:szCs w:val="34"/>
          <w:rtl/>
        </w:rPr>
        <w:t>إ</w:t>
      </w:r>
      <w:r w:rsidR="009B3301" w:rsidRPr="009B3301">
        <w:rPr>
          <w:rFonts w:ascii="mylotus" w:hAnsi="mylotus"/>
          <w:sz w:val="34"/>
          <w:szCs w:val="34"/>
          <w:rtl/>
        </w:rPr>
        <w:t>ن مضى الو</w:t>
      </w:r>
      <w:r>
        <w:rPr>
          <w:rFonts w:ascii="mylotus" w:hAnsi="mylotus"/>
          <w:sz w:val="34"/>
          <w:szCs w:val="34"/>
          <w:rtl/>
        </w:rPr>
        <w:t>قت ولم يستعمل الخيار من له ذلك</w:t>
      </w:r>
      <w:r w:rsidR="009B3301" w:rsidRPr="009B3301">
        <w:rPr>
          <w:rFonts w:ascii="mylotus" w:hAnsi="mylotus"/>
          <w:sz w:val="34"/>
          <w:szCs w:val="34"/>
          <w:rtl/>
        </w:rPr>
        <w:t xml:space="preserve"> كان البيع موضوع لحكم الشارع أو العقلاء باللزوم</w:t>
      </w:r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لا أن استعمال الخيار ر</w:t>
      </w:r>
      <w:r>
        <w:rPr>
          <w:rFonts w:ascii="mylotus" w:hAnsi="mylotus"/>
          <w:sz w:val="34"/>
          <w:szCs w:val="34"/>
          <w:rtl/>
        </w:rPr>
        <w:t>افع لأحد المنشئين بالبيع وهو ال</w:t>
      </w:r>
      <w:r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>لتزام بعد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حدوثه</w:t>
      </w:r>
      <w:r>
        <w:rPr>
          <w:rFonts w:ascii="mylotus" w:hAnsi="mylotus" w:hint="cs"/>
          <w:sz w:val="34"/>
          <w:szCs w:val="34"/>
          <w:rtl/>
        </w:rPr>
        <w:t>.</w:t>
      </w:r>
    </w:p>
    <w:p w14:paraId="60FCEDDA" w14:textId="27C68AFA" w:rsidR="00D0504B" w:rsidRDefault="00D0504B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>
        <w:rPr>
          <w:rFonts w:ascii="mylotus" w:hAnsi="mylotus"/>
          <w:sz w:val="34"/>
          <w:szCs w:val="34"/>
          <w:rtl/>
        </w:rPr>
        <w:t>وبعبارة أخرى</w:t>
      </w:r>
      <w:r w:rsidR="009B3301" w:rsidRPr="009B3301">
        <w:rPr>
          <w:rFonts w:ascii="mylotus" w:hAnsi="mylotus"/>
          <w:sz w:val="34"/>
          <w:szCs w:val="34"/>
          <w:rtl/>
        </w:rPr>
        <w:t>: إن اِلتفات المتبايعين إلى جواز العقد ابتداء</w:t>
      </w:r>
      <w:r>
        <w:rPr>
          <w:rFonts w:ascii="mylotus" w:hAnsi="mylotus" w:hint="cs"/>
          <w:sz w:val="34"/>
          <w:szCs w:val="34"/>
          <w:rtl/>
        </w:rPr>
        <w:t>ُ</w:t>
      </w:r>
      <w:r>
        <w:rPr>
          <w:rFonts w:ascii="mylotus" w:hAnsi="mylotu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أو أن اشتراطهما للخيار</w:t>
      </w:r>
      <w:r>
        <w:rPr>
          <w:rFonts w:ascii="mylotus" w:hAnsi="mylotu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ينسجم مع بنا</w:t>
      </w:r>
      <w:r>
        <w:rPr>
          <w:rFonts w:ascii="mylotus" w:hAnsi="mylotus" w:hint="cs"/>
          <w:sz w:val="34"/>
          <w:szCs w:val="34"/>
          <w:rtl/>
        </w:rPr>
        <w:t>ئ</w:t>
      </w:r>
      <w:r w:rsidR="009B3301" w:rsidRPr="009B3301">
        <w:rPr>
          <w:rFonts w:ascii="mylotus" w:hAnsi="mylotus"/>
          <w:sz w:val="34"/>
          <w:szCs w:val="34"/>
          <w:rtl/>
        </w:rPr>
        <w:t>هما على إنش</w:t>
      </w:r>
      <w:r>
        <w:rPr>
          <w:rFonts w:ascii="mylotus" w:hAnsi="mylotus"/>
          <w:sz w:val="34"/>
          <w:szCs w:val="34"/>
          <w:rtl/>
        </w:rPr>
        <w:t xml:space="preserve">اء الالتزام والتعهد بعدم الفسخ </w:t>
      </w:r>
      <w:r>
        <w:rPr>
          <w:rFonts w:ascii="mylotus" w:hAnsi="mylotus" w:hint="cs"/>
          <w:sz w:val="34"/>
          <w:szCs w:val="34"/>
          <w:rtl/>
        </w:rPr>
        <w:t>إ</w:t>
      </w:r>
      <w:r w:rsidR="009B3301" w:rsidRPr="009B3301">
        <w:rPr>
          <w:rFonts w:ascii="mylotus" w:hAnsi="mylotus"/>
          <w:sz w:val="34"/>
          <w:szCs w:val="34"/>
          <w:rtl/>
        </w:rPr>
        <w:t>لى حين أن يبدو</w:t>
      </w:r>
      <w:r>
        <w:rPr>
          <w:rFonts w:ascii="mylotus" w:hAnsi="mylotus"/>
          <w:sz w:val="34"/>
          <w:szCs w:val="34"/>
          <w:rtl/>
        </w:rPr>
        <w:t xml:space="preserve"> لهما أو لأحدهما رفع اليد عن ال</w:t>
      </w:r>
      <w:r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 xml:space="preserve">لتزام والتعهد بالمنشأ </w:t>
      </w:r>
      <w:proofErr w:type="spellStart"/>
      <w:r w:rsidR="009B3301" w:rsidRPr="009B3301">
        <w:rPr>
          <w:rFonts w:ascii="mylotus" w:hAnsi="mylotus"/>
          <w:sz w:val="34"/>
          <w:szCs w:val="34"/>
          <w:rtl/>
        </w:rPr>
        <w:t>المعاملي</w:t>
      </w:r>
      <w:proofErr w:type="spellEnd"/>
      <w:r>
        <w:rPr>
          <w:rFonts w:ascii="mylotus" w:hAnsi="mylotus"/>
          <w:sz w:val="34"/>
          <w:szCs w:val="34"/>
          <w:rtl/>
        </w:rPr>
        <w:t>،</w:t>
      </w:r>
      <w:r w:rsidR="009B3301" w:rsidRPr="009B3301">
        <w:rPr>
          <w:rFonts w:ascii="mylotus" w:hAnsi="mylotus"/>
          <w:sz w:val="34"/>
          <w:szCs w:val="34"/>
          <w:rtl/>
        </w:rPr>
        <w:t xml:space="preserve"> وإنما </w:t>
      </w:r>
      <w:r>
        <w:rPr>
          <w:rFonts w:ascii="mylotus" w:hAnsi="mylotus"/>
          <w:sz w:val="34"/>
          <w:szCs w:val="34"/>
          <w:rtl/>
        </w:rPr>
        <w:t>البيع بحسب المرتكزات مُنشأ واحد</w:t>
      </w:r>
      <w:r w:rsidR="009B3301" w:rsidRPr="009B3301">
        <w:rPr>
          <w:rFonts w:ascii="mylotus" w:hAnsi="mylotus"/>
          <w:sz w:val="34"/>
          <w:szCs w:val="34"/>
          <w:rtl/>
        </w:rPr>
        <w:t xml:space="preserve"> وهو التمليك، وهو موضوع لحكم</w:t>
      </w:r>
      <w:r>
        <w:rPr>
          <w:rFonts w:ascii="mylotus" w:hAnsi="mylotu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>الشارع باللزوم، أو بالجواز لبعض الخصوصيات، وكلا</w:t>
      </w:r>
      <w:r>
        <w:rPr>
          <w:rFonts w:ascii="mylotus" w:hAnsi="mylotus"/>
          <w:sz w:val="34"/>
          <w:szCs w:val="34"/>
          <w:rtl/>
        </w:rPr>
        <w:t xml:space="preserve"> الحكمين خارجٌ عن إطار المُنشأ</w:t>
      </w:r>
      <w:r w:rsidR="009B3301" w:rsidRPr="009B3301">
        <w:rPr>
          <w:rFonts w:ascii="mylotus" w:hAnsi="mylotus"/>
          <w:sz w:val="34"/>
          <w:szCs w:val="34"/>
          <w:rtl/>
        </w:rPr>
        <w:t xml:space="preserve"> وحريم المعاملة</w:t>
      </w:r>
      <w:r>
        <w:rPr>
          <w:rFonts w:ascii="mylotus" w:hAnsi="mylotus" w:hint="cs"/>
          <w:sz w:val="34"/>
          <w:szCs w:val="34"/>
          <w:rtl/>
        </w:rPr>
        <w:t>.</w:t>
      </w:r>
    </w:p>
    <w:p w14:paraId="13138A50" w14:textId="07ED0993" w:rsidR="009B3301" w:rsidRPr="009B3301" w:rsidRDefault="00D0504B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4A08C5">
        <w:rPr>
          <w:rFonts w:ascii="mylotus" w:hAnsi="mylotus"/>
          <w:b/>
          <w:bCs/>
          <w:sz w:val="34"/>
          <w:szCs w:val="34"/>
          <w:rtl/>
        </w:rPr>
        <w:t>ثانيها</w:t>
      </w:r>
      <w:r w:rsidR="009B3301" w:rsidRPr="004A08C5">
        <w:rPr>
          <w:rFonts w:ascii="mylotus" w:hAnsi="mylotus"/>
          <w:b/>
          <w:bCs/>
          <w:sz w:val="34"/>
          <w:szCs w:val="34"/>
          <w:rtl/>
        </w:rPr>
        <w:t>:</w:t>
      </w:r>
      <w:r w:rsidR="009B3301" w:rsidRPr="009B3301">
        <w:rPr>
          <w:rFonts w:ascii="mylotus" w:hAnsi="mylotus"/>
          <w:sz w:val="34"/>
          <w:szCs w:val="34"/>
          <w:rtl/>
        </w:rPr>
        <w:t xml:space="preserve"> أن لازم 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9B3301" w:rsidRPr="009B3301">
        <w:rPr>
          <w:rFonts w:ascii="mylotus" w:hAnsi="mylotus"/>
          <w:sz w:val="34"/>
          <w:szCs w:val="34"/>
          <w:rtl/>
        </w:rPr>
        <w:t xml:space="preserve">أفيد دوران </w:t>
      </w:r>
      <w:r>
        <w:rPr>
          <w:rFonts w:ascii="mylotus" w:hAnsi="mylotus"/>
          <w:sz w:val="34"/>
          <w:szCs w:val="34"/>
          <w:rtl/>
        </w:rPr>
        <w:t>صدق العقد مدار مدلوله الالتزامي</w:t>
      </w:r>
      <w:r w:rsidR="009B3301" w:rsidRPr="009B3301">
        <w:rPr>
          <w:rFonts w:ascii="mylotus" w:hAnsi="mylotus"/>
          <w:sz w:val="34"/>
          <w:szCs w:val="34"/>
          <w:rtl/>
        </w:rPr>
        <w:t xml:space="preserve"> لا مدلوله المطابقي، أي أن حيثية العقدية صفة طارئة على البيع والإجارة مثلا</w:t>
      </w:r>
      <w:r>
        <w:rPr>
          <w:rFonts w:ascii="mylotus" w:hAnsi="mylotus" w:hint="cs"/>
          <w:sz w:val="34"/>
          <w:szCs w:val="34"/>
          <w:rtl/>
        </w:rPr>
        <w:t>ً</w:t>
      </w:r>
      <w:r w:rsidR="009B3301" w:rsidRPr="009B3301">
        <w:rPr>
          <w:rFonts w:ascii="mylotus" w:hAnsi="mylotus"/>
          <w:sz w:val="34"/>
          <w:szCs w:val="34"/>
          <w:rtl/>
        </w:rPr>
        <w:t>، لأنها إنما تكتسبها المعاملة من إنشاء الالتزام، لا أنها تثبت للمعاملة أولاً وبالذات، وبنفس الإنشاء، فلو فرض أن المتبايعين بالبيع اللفظي مثلا</w:t>
      </w:r>
      <w:r>
        <w:rPr>
          <w:rFonts w:ascii="mylotus" w:hAnsi="mylotus" w:hint="cs"/>
          <w:sz w:val="34"/>
          <w:szCs w:val="34"/>
          <w:rtl/>
        </w:rPr>
        <w:t>ً</w:t>
      </w:r>
      <w:r>
        <w:rPr>
          <w:rFonts w:ascii="mylotus" w:hAnsi="mylotus"/>
          <w:sz w:val="34"/>
          <w:szCs w:val="34"/>
          <w:rtl/>
        </w:rPr>
        <w:t xml:space="preserve"> لم يتكفلا بإنشاء ال</w:t>
      </w:r>
      <w:r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>لتزام والتعهد فما حصل ليس بعقد وإن كان بيعا</w:t>
      </w:r>
      <w:r>
        <w:rPr>
          <w:rFonts w:ascii="mylotus" w:hAnsi="mylotus" w:hint="cs"/>
          <w:sz w:val="34"/>
          <w:szCs w:val="34"/>
          <w:rtl/>
        </w:rPr>
        <w:t>ً</w:t>
      </w:r>
      <w:r>
        <w:rPr>
          <w:rFonts w:ascii="mylotus" w:hAnsi="mylotus"/>
          <w:sz w:val="34"/>
          <w:szCs w:val="34"/>
          <w:rtl/>
        </w:rPr>
        <w:t>.</w:t>
      </w:r>
    </w:p>
    <w:p w14:paraId="10A36760" w14:textId="1E6447C8" w:rsidR="00D0504B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9B3301">
        <w:rPr>
          <w:rFonts w:ascii="mylotus" w:hAnsi="mylotus"/>
          <w:sz w:val="34"/>
          <w:szCs w:val="34"/>
          <w:rtl/>
        </w:rPr>
        <w:lastRenderedPageBreak/>
        <w:t>وهذا أيضاً مصادمٌ للمرتكزات العقلائية؛ فإن بناءها</w:t>
      </w:r>
      <w:r w:rsidR="00D0504B">
        <w:rPr>
          <w:rFonts w:ascii="mylotus" w:hAnsi="mylotus"/>
          <w:sz w:val="34"/>
          <w:szCs w:val="34"/>
          <w:rtl/>
        </w:rPr>
        <w:t xml:space="preserve"> </w:t>
      </w:r>
      <w:r w:rsidRPr="009B3301">
        <w:rPr>
          <w:rFonts w:ascii="mylotus" w:hAnsi="mylotus"/>
          <w:sz w:val="34"/>
          <w:szCs w:val="34"/>
          <w:rtl/>
        </w:rPr>
        <w:t>على أنّ ما هو ع</w:t>
      </w:r>
      <w:r w:rsidR="00D0504B">
        <w:rPr>
          <w:rFonts w:ascii="mylotus" w:hAnsi="mylotus"/>
          <w:sz w:val="34"/>
          <w:szCs w:val="34"/>
          <w:rtl/>
        </w:rPr>
        <w:t xml:space="preserve">قدٌ في حد نفسه وفي رتبة سابقة </w:t>
      </w:r>
      <w:r w:rsidRPr="009B3301">
        <w:rPr>
          <w:rFonts w:ascii="mylotus" w:hAnsi="mylotus"/>
          <w:sz w:val="34"/>
          <w:szCs w:val="34"/>
          <w:rtl/>
        </w:rPr>
        <w:t>قد يكون موضوع للحكم باللزوم في حال عدم اشتراط الخيار من قبل أحد المتعاملين</w:t>
      </w:r>
      <w:r w:rsidR="00D0504B">
        <w:rPr>
          <w:rFonts w:ascii="mylotus" w:hAnsi="mylotu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وقد يكون موضوعا</w:t>
      </w:r>
      <w:r w:rsidR="00D0504B">
        <w:rPr>
          <w:rFonts w:ascii="mylotus" w:hAnsi="mylotus" w:hint="cs"/>
          <w:sz w:val="34"/>
          <w:szCs w:val="34"/>
          <w:rtl/>
        </w:rPr>
        <w:t>ً</w:t>
      </w:r>
      <w:r w:rsidRPr="009B3301">
        <w:rPr>
          <w:rFonts w:ascii="mylotus" w:hAnsi="mylotus"/>
          <w:sz w:val="34"/>
          <w:szCs w:val="34"/>
          <w:rtl/>
        </w:rPr>
        <w:t xml:space="preserve"> للحكم بالجواز إن كان مشروطا</w:t>
      </w:r>
      <w:r w:rsidR="00D0504B">
        <w:rPr>
          <w:rFonts w:ascii="mylotus" w:hAnsi="mylotus" w:hint="cs"/>
          <w:sz w:val="34"/>
          <w:szCs w:val="34"/>
          <w:rtl/>
        </w:rPr>
        <w:t>ً</w:t>
      </w:r>
      <w:r w:rsidRPr="009B3301">
        <w:rPr>
          <w:rFonts w:ascii="mylotus" w:hAnsi="mylotus"/>
          <w:sz w:val="34"/>
          <w:szCs w:val="34"/>
          <w:rtl/>
        </w:rPr>
        <w:t xml:space="preserve"> بالخيار مثلا</w:t>
      </w:r>
      <w:r w:rsidR="00D0504B">
        <w:rPr>
          <w:rFonts w:ascii="mylotus" w:hAnsi="mylotus" w:hint="cs"/>
          <w:sz w:val="34"/>
          <w:szCs w:val="34"/>
          <w:rtl/>
        </w:rPr>
        <w:t>ً</w:t>
      </w:r>
      <w:r w:rsidR="00D0504B">
        <w:rPr>
          <w:rFonts w:ascii="mylotus" w:hAnsi="mylotus"/>
          <w:sz w:val="34"/>
          <w:szCs w:val="34"/>
          <w:rtl/>
        </w:rPr>
        <w:t>،</w:t>
      </w:r>
      <w:r w:rsidRPr="009B3301">
        <w:rPr>
          <w:rFonts w:ascii="mylotus" w:hAnsi="mylotus"/>
          <w:sz w:val="34"/>
          <w:szCs w:val="34"/>
          <w:rtl/>
        </w:rPr>
        <w:t xml:space="preserve"> لا أنّ ما هو معاملة إنما يتصف بالعقدية في طول التزا</w:t>
      </w:r>
      <w:r w:rsidR="00D0504B">
        <w:rPr>
          <w:rFonts w:ascii="mylotus" w:hAnsi="mylotus"/>
          <w:sz w:val="34"/>
          <w:szCs w:val="34"/>
          <w:rtl/>
        </w:rPr>
        <w:t>م المتعاملين وتعهدهما بما أُنشئ</w:t>
      </w:r>
      <w:r w:rsidR="00D0504B">
        <w:rPr>
          <w:rFonts w:ascii="mylotus" w:hAnsi="mylotus" w:hint="cs"/>
          <w:sz w:val="34"/>
          <w:szCs w:val="34"/>
          <w:rtl/>
        </w:rPr>
        <w:t>.</w:t>
      </w:r>
    </w:p>
    <w:p w14:paraId="6FADCC9E" w14:textId="109BD038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4A08C5">
        <w:rPr>
          <w:rFonts w:ascii="mylotus" w:hAnsi="mylotus"/>
          <w:b/>
          <w:bCs/>
          <w:sz w:val="34"/>
          <w:szCs w:val="34"/>
          <w:rtl/>
        </w:rPr>
        <w:t>والصحيح</w:t>
      </w:r>
      <w:r w:rsidR="00D0504B" w:rsidRPr="004A08C5">
        <w:rPr>
          <w:rFonts w:ascii="mylotus" w:hAnsi="mylotus" w:hint="cs"/>
          <w:b/>
          <w:bCs/>
          <w:sz w:val="34"/>
          <w:szCs w:val="34"/>
          <w:rtl/>
        </w:rPr>
        <w:t>:</w:t>
      </w:r>
      <w:r w:rsidRPr="009B3301">
        <w:rPr>
          <w:rFonts w:ascii="mylotus" w:hAnsi="mylotus"/>
          <w:sz w:val="34"/>
          <w:szCs w:val="34"/>
          <w:rtl/>
        </w:rPr>
        <w:t xml:space="preserve"> أن حيثية العقدية ثابتة ابتداء</w:t>
      </w:r>
      <w:r w:rsidR="00D0504B">
        <w:rPr>
          <w:rFonts w:ascii="mylotus" w:hAnsi="mylotus" w:hint="cs"/>
          <w:sz w:val="34"/>
          <w:szCs w:val="34"/>
          <w:rtl/>
        </w:rPr>
        <w:t>ً</w:t>
      </w:r>
      <w:r w:rsidRPr="009B3301">
        <w:rPr>
          <w:rFonts w:ascii="mylotus" w:hAnsi="mylotus"/>
          <w:sz w:val="34"/>
          <w:szCs w:val="34"/>
          <w:rtl/>
        </w:rPr>
        <w:t xml:space="preserve"> لكون المنشأ هو العلقة الوضعية الحاصلة بقرار الطرفين</w:t>
      </w:r>
      <w:r w:rsidR="00D0504B">
        <w:rPr>
          <w:rFonts w:ascii="mylotus" w:hAnsi="mylotus"/>
          <w:sz w:val="34"/>
          <w:szCs w:val="34"/>
          <w:rtl/>
        </w:rPr>
        <w:t>.</w:t>
      </w:r>
    </w:p>
    <w:p w14:paraId="798FB405" w14:textId="52DA9A42" w:rsidR="009B3301" w:rsidRPr="009B3301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4A08C5">
        <w:rPr>
          <w:rFonts w:ascii="mylotus" w:hAnsi="mylotus"/>
          <w:b/>
          <w:bCs/>
          <w:sz w:val="34"/>
          <w:szCs w:val="34"/>
          <w:rtl/>
        </w:rPr>
        <w:t>والمتحصل</w:t>
      </w:r>
      <w:r w:rsidR="00D0504B" w:rsidRPr="004A08C5">
        <w:rPr>
          <w:rFonts w:ascii="mylotus" w:hAnsi="mylotus" w:hint="cs"/>
          <w:b/>
          <w:bCs/>
          <w:sz w:val="34"/>
          <w:szCs w:val="34"/>
          <w:rtl/>
        </w:rPr>
        <w:t>:</w:t>
      </w:r>
      <w:r w:rsidRPr="009B3301">
        <w:rPr>
          <w:rFonts w:ascii="mylotus" w:hAnsi="mylotus"/>
          <w:sz w:val="34"/>
          <w:szCs w:val="34"/>
          <w:rtl/>
        </w:rPr>
        <w:t xml:space="preserve"> أن ما ذكره المحقق النا</w:t>
      </w:r>
      <w:r w:rsidR="00D0504B">
        <w:rPr>
          <w:rFonts w:ascii="mylotus" w:hAnsi="mylotus"/>
          <w:sz w:val="34"/>
          <w:szCs w:val="34"/>
          <w:rtl/>
        </w:rPr>
        <w:t>ئيني (قدس سره) بحسب تقرير بحثه</w:t>
      </w:r>
      <w:r w:rsidRPr="009B3301">
        <w:rPr>
          <w:rFonts w:ascii="mylotus" w:hAnsi="mylotus"/>
          <w:sz w:val="34"/>
          <w:szCs w:val="34"/>
          <w:rtl/>
        </w:rPr>
        <w:t xml:space="preserve"> منافٍ للمرتكزات العقلائية من جهتين</w:t>
      </w:r>
      <w:r w:rsidRPr="009B3301">
        <w:rPr>
          <w:rFonts w:ascii="mylotus" w:hAnsi="mylotus"/>
          <w:sz w:val="34"/>
          <w:szCs w:val="34"/>
        </w:rPr>
        <w:t>:</w:t>
      </w:r>
    </w:p>
    <w:p w14:paraId="18FA0FF1" w14:textId="596D4F32" w:rsidR="009B3301" w:rsidRPr="009B3301" w:rsidRDefault="00D0504B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>
        <w:rPr>
          <w:rFonts w:ascii="mylotus" w:hAnsi="mylotus" w:hint="cs"/>
          <w:sz w:val="34"/>
          <w:szCs w:val="34"/>
          <w:rtl/>
        </w:rPr>
        <w:t xml:space="preserve">1- </w:t>
      </w:r>
      <w:r w:rsidR="009B3301" w:rsidRPr="009B3301">
        <w:rPr>
          <w:rFonts w:ascii="mylotus" w:hAnsi="mylotus"/>
          <w:sz w:val="34"/>
          <w:szCs w:val="34"/>
          <w:rtl/>
        </w:rPr>
        <w:t>من جهة أنّ العقدية صفة طارئة على المعاملة تنشأ من المدلول الالتزامي</w:t>
      </w:r>
      <w:r>
        <w:rPr>
          <w:rFonts w:ascii="mylotus" w:hAnsi="mylotus"/>
          <w:sz w:val="34"/>
          <w:szCs w:val="34"/>
          <w:rtl/>
        </w:rPr>
        <w:t>.</w:t>
      </w:r>
    </w:p>
    <w:p w14:paraId="4C424839" w14:textId="55390DE9" w:rsidR="009B3301" w:rsidRPr="009B3301" w:rsidRDefault="00D0504B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  <w:r>
        <w:rPr>
          <w:rFonts w:ascii="mylotus" w:hAnsi="mylotus" w:hint="cs"/>
          <w:sz w:val="34"/>
          <w:szCs w:val="34"/>
          <w:rtl/>
        </w:rPr>
        <w:t xml:space="preserve">2- </w:t>
      </w:r>
      <w:r w:rsidR="009B3301" w:rsidRPr="009B3301">
        <w:rPr>
          <w:rFonts w:ascii="mylotus" w:hAnsi="mylotus"/>
          <w:sz w:val="34"/>
          <w:szCs w:val="34"/>
          <w:rtl/>
        </w:rPr>
        <w:t>من جهة أنّ استعمال الخيار رف</w:t>
      </w:r>
      <w:r>
        <w:rPr>
          <w:rFonts w:ascii="mylotus" w:hAnsi="mylotus"/>
          <w:sz w:val="34"/>
          <w:szCs w:val="34"/>
          <w:rtl/>
        </w:rPr>
        <w:t>عٌ لما هو المُنشأ العقدي وهو ال</w:t>
      </w:r>
      <w:r>
        <w:rPr>
          <w:rFonts w:ascii="mylotus" w:hAnsi="mylotus" w:hint="cs"/>
          <w:sz w:val="34"/>
          <w:szCs w:val="34"/>
          <w:rtl/>
        </w:rPr>
        <w:t>ا</w:t>
      </w:r>
      <w:r w:rsidR="009B3301" w:rsidRPr="009B3301">
        <w:rPr>
          <w:rFonts w:ascii="mylotus" w:hAnsi="mylotus"/>
          <w:sz w:val="34"/>
          <w:szCs w:val="34"/>
          <w:rtl/>
        </w:rPr>
        <w:t>لتزام</w:t>
      </w:r>
      <w:r>
        <w:rPr>
          <w:rFonts w:ascii="mylotus" w:hAnsi="mylotus"/>
          <w:sz w:val="34"/>
          <w:szCs w:val="34"/>
          <w:rtl/>
        </w:rPr>
        <w:t>.</w:t>
      </w:r>
    </w:p>
    <w:p w14:paraId="4CA8DB81" w14:textId="77777777" w:rsidR="009B3301" w:rsidRPr="00772708" w:rsidRDefault="009B3301" w:rsidP="004A08C5">
      <w:pPr>
        <w:pStyle w:val="a0"/>
        <w:widowControl w:val="0"/>
        <w:bidi/>
        <w:spacing w:line="216" w:lineRule="auto"/>
        <w:rPr>
          <w:rFonts w:ascii="mylotus" w:hAnsi="mylotus"/>
          <w:sz w:val="34"/>
          <w:szCs w:val="34"/>
          <w:rtl/>
        </w:rPr>
      </w:pPr>
    </w:p>
    <w:p w14:paraId="2D24CFF0" w14:textId="3BB9A841" w:rsidR="001F034F" w:rsidRPr="005F7776" w:rsidRDefault="00E706A4" w:rsidP="004A08C5">
      <w:pPr>
        <w:pStyle w:val="a0"/>
        <w:widowControl w:val="0"/>
        <w:bidi/>
        <w:spacing w:line="216" w:lineRule="auto"/>
        <w:jc w:val="center"/>
        <w:rPr>
          <w:rFonts w:ascii="mylotus" w:hAnsi="mylotus"/>
          <w:b/>
          <w:bCs/>
          <w:sz w:val="34"/>
          <w:szCs w:val="34"/>
        </w:rPr>
      </w:pPr>
      <w:r w:rsidRPr="005F7776">
        <w:rPr>
          <w:rFonts w:ascii="mylotus" w:hAnsi="mylotus"/>
          <w:b/>
          <w:bCs/>
          <w:sz w:val="34"/>
          <w:szCs w:val="34"/>
          <w:rtl/>
        </w:rPr>
        <w:t>والحمد لله رب العالمين</w:t>
      </w:r>
      <w:r w:rsidR="002339F1" w:rsidRPr="005F7776">
        <w:rPr>
          <w:rFonts w:ascii="mylotus" w:hAnsi="mylotus"/>
          <w:b/>
          <w:bCs/>
          <w:sz w:val="34"/>
          <w:szCs w:val="34"/>
          <w:rtl/>
        </w:rPr>
        <w:t xml:space="preserve"> </w:t>
      </w:r>
    </w:p>
    <w:sectPr w:rsidR="001F034F" w:rsidRPr="005F7776" w:rsidSect="006C6C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2" w:right="1077" w:bottom="851" w:left="1077" w:header="425" w:footer="340" w:gutter="0"/>
      <w:cols w:space="708"/>
      <w:bidi/>
      <w:rtlGutter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C1D2D" w14:textId="77777777" w:rsidR="005958A1" w:rsidRDefault="005958A1" w:rsidP="00A5027D">
      <w:pPr>
        <w:spacing w:line="240" w:lineRule="auto"/>
      </w:pPr>
      <w:r>
        <w:separator/>
      </w:r>
    </w:p>
  </w:endnote>
  <w:endnote w:type="continuationSeparator" w:id="0">
    <w:p w14:paraId="3C71B7A2" w14:textId="77777777" w:rsidR="005958A1" w:rsidRDefault="005958A1" w:rsidP="00A502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mohsin">
    <w:altName w:val="Arial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7B5E3" w14:textId="77777777" w:rsidR="005414B9" w:rsidRDefault="005414B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0000"/>
        <w:sz w:val="24"/>
        <w:szCs w:val="24"/>
        <w:rtl/>
      </w:rPr>
      <w:id w:val="1007181803"/>
      <w:docPartObj>
        <w:docPartGallery w:val="Page Numbers (Bottom of Page)"/>
        <w:docPartUnique/>
      </w:docPartObj>
    </w:sdtPr>
    <w:sdtEndPr/>
    <w:sdtContent>
      <w:p w14:paraId="5CB150A1" w14:textId="77777777" w:rsidR="00B07F43" w:rsidRDefault="00B07F43" w:rsidP="007A1A5D">
        <w:pPr>
          <w:pStyle w:val="aa"/>
          <w:jc w:val="center"/>
        </w:pP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begin"/>
        </w:r>
        <w:r w:rsidRPr="00A1068D">
          <w:rPr>
            <w:rFonts w:ascii="mylotus" w:hAnsi="mylotus" w:cs="mylotus"/>
            <w:color w:val="FF0000"/>
            <w:sz w:val="24"/>
            <w:szCs w:val="24"/>
          </w:rPr>
          <w:instrText>PAGE   \* MERGEFORMAT</w:instrTex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separate"/>
        </w:r>
        <w:r w:rsidR="005414B9" w:rsidRPr="005414B9">
          <w:rPr>
            <w:rFonts w:ascii="mylotus" w:hAnsi="mylotus" w:cs="mylotus"/>
            <w:noProof/>
            <w:color w:val="FF0000"/>
            <w:sz w:val="24"/>
            <w:szCs w:val="24"/>
            <w:rtl/>
            <w:lang w:val="ar-SA"/>
          </w:rPr>
          <w:t>1</w: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9B1062" w14:textId="77777777" w:rsidR="005414B9" w:rsidRDefault="005414B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D5952" w14:textId="77777777" w:rsidR="005958A1" w:rsidRDefault="005958A1" w:rsidP="00A5027D">
      <w:pPr>
        <w:spacing w:line="240" w:lineRule="auto"/>
      </w:pPr>
      <w:r>
        <w:separator/>
      </w:r>
    </w:p>
  </w:footnote>
  <w:footnote w:type="continuationSeparator" w:id="0">
    <w:p w14:paraId="035ACC8C" w14:textId="77777777" w:rsidR="005958A1" w:rsidRDefault="005958A1" w:rsidP="00A502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707D0F" w14:textId="77777777" w:rsidR="005414B9" w:rsidRDefault="005414B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C0897" w14:textId="68744F97" w:rsidR="00B07F43" w:rsidRPr="005F7776" w:rsidRDefault="00B07F43" w:rsidP="005414B9">
    <w:pPr>
      <w:pStyle w:val="a9"/>
      <w:tabs>
        <w:tab w:val="left" w:pos="4961"/>
      </w:tabs>
      <w:rPr>
        <w:rFonts w:ascii="mylotus" w:hAnsi="mylotus" w:cs="mylotus"/>
        <w:sz w:val="26"/>
        <w:szCs w:val="26"/>
        <w:lang w:val="en-US"/>
      </w:rPr>
    </w:pPr>
    <w:r w:rsidRPr="005F7776">
      <w:rPr>
        <w:rFonts w:ascii="mylotus" w:hAnsi="mylotus" w:cs="mylotus"/>
        <w:noProof/>
        <w:color w:val="FF0000"/>
        <w:sz w:val="26"/>
        <w:szCs w:val="26"/>
        <w:rtl/>
        <w:lang w:val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687E498" wp14:editId="465959DC">
              <wp:simplePos x="0" y="0"/>
              <wp:positionH relativeFrom="margin">
                <wp:posOffset>-1905</wp:posOffset>
              </wp:positionH>
              <wp:positionV relativeFrom="paragraph">
                <wp:posOffset>336178</wp:posOffset>
              </wp:positionV>
              <wp:extent cx="6191885" cy="0"/>
              <wp:effectExtent l="0" t="0" r="18415" b="19050"/>
              <wp:wrapNone/>
              <wp:docPr id="1" name="رابط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918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EFCDFE0" id="رابط مستقيم 1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26.45pt" to="487.4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" strokecolor="#4579b8 [3044]">
              <w10:wrap anchorx="margin"/>
            </v:line>
          </w:pict>
        </mc:Fallback>
      </mc:AlternateContent>
    </w:r>
    <w:r w:rsidR="00524E83" w:rsidRPr="005F7776">
      <w:rPr>
        <w:rFonts w:ascii="mylotus" w:hAnsi="mylotus" w:cs="mylotus"/>
        <w:color w:val="FF0000"/>
        <w:sz w:val="26"/>
        <w:szCs w:val="26"/>
        <w:rtl/>
      </w:rPr>
      <w:t>بحث الفقه - كتاب الإجارة</w:t>
    </w:r>
    <w:r w:rsidRPr="005F7776">
      <w:rPr>
        <w:rFonts w:ascii="mylotus" w:hAnsi="mylotus" w:cs="mylotus"/>
        <w:color w:val="FF0000"/>
        <w:sz w:val="26"/>
        <w:szCs w:val="26"/>
        <w:rtl/>
      </w:rPr>
      <w:t xml:space="preserve"> (</w:t>
    </w:r>
    <w:r w:rsidR="00772708">
      <w:rPr>
        <w:rFonts w:ascii="mylotus" w:hAnsi="mylotus" w:cs="mylotus" w:hint="cs"/>
        <w:color w:val="FF0000"/>
        <w:sz w:val="26"/>
        <w:szCs w:val="26"/>
        <w:rtl/>
      </w:rPr>
      <w:t>6</w:t>
    </w:r>
    <w:r w:rsidRPr="005F7776">
      <w:rPr>
        <w:rFonts w:ascii="mylotus" w:hAnsi="mylotus" w:cs="mylotus"/>
        <w:color w:val="FF0000"/>
        <w:sz w:val="26"/>
        <w:szCs w:val="26"/>
        <w:rtl/>
      </w:rPr>
      <w:t>)</w:t>
    </w:r>
    <w:r w:rsidR="00524E83" w:rsidRPr="005F7776">
      <w:rPr>
        <w:rFonts w:ascii="mylotus" w:hAnsi="mylotus" w:cs="mylotus"/>
        <w:color w:val="FF0000"/>
        <w:sz w:val="26"/>
        <w:szCs w:val="26"/>
        <w:rtl/>
      </w:rPr>
      <w:t xml:space="preserve"> </w:t>
    </w:r>
    <w:r w:rsidR="00772708">
      <w:rPr>
        <w:rFonts w:ascii="mylotus" w:hAnsi="mylotus" w:cs="mylotus" w:hint="cs"/>
        <w:color w:val="FF0000"/>
        <w:sz w:val="26"/>
        <w:szCs w:val="26"/>
        <w:rtl/>
      </w:rPr>
      <w:t>-</w:t>
    </w:r>
    <w:r w:rsidR="00524E83" w:rsidRPr="005F7776">
      <w:rPr>
        <w:rFonts w:ascii="mylotus" w:hAnsi="mylotus" w:cs="mylotus"/>
        <w:color w:val="FF0000"/>
        <w:sz w:val="26"/>
        <w:szCs w:val="26"/>
        <w:rtl/>
      </w:rPr>
      <w:t xml:space="preserve"> </w:t>
    </w:r>
    <w:r w:rsidR="002339F1" w:rsidRPr="005F7776">
      <w:rPr>
        <w:rFonts w:ascii="mylotus" w:hAnsi="mylotus" w:cs="mylotus"/>
        <w:color w:val="FF0000"/>
        <w:sz w:val="26"/>
        <w:szCs w:val="26"/>
        <w:rtl/>
      </w:rPr>
      <w:t>ال</w:t>
    </w:r>
    <w:r w:rsidR="005414B9">
      <w:rPr>
        <w:rFonts w:ascii="mylotus" w:hAnsi="mylotus" w:cs="mylotus" w:hint="cs"/>
        <w:color w:val="FF0000"/>
        <w:sz w:val="26"/>
        <w:szCs w:val="26"/>
        <w:rtl/>
      </w:rPr>
      <w:t>أربعاء</w:t>
    </w:r>
    <w:r w:rsidR="00772708">
      <w:rPr>
        <w:rFonts w:ascii="mylotus" w:hAnsi="mylotus" w:cs="mylotus" w:hint="cs"/>
        <w:color w:val="FF0000"/>
        <w:sz w:val="26"/>
        <w:szCs w:val="26"/>
        <w:rtl/>
      </w:rPr>
      <w:t xml:space="preserve"> 5</w:t>
    </w:r>
    <w:r w:rsidR="00AE3EA6">
      <w:rPr>
        <w:rFonts w:ascii="mylotus" w:hAnsi="mylotus" w:cs="mylotus"/>
        <w:color w:val="FF0000"/>
        <w:sz w:val="26"/>
        <w:szCs w:val="26"/>
        <w:rtl/>
      </w:rPr>
      <w:t xml:space="preserve"> </w:t>
    </w:r>
    <w:r w:rsidR="00AE3EA6">
      <w:rPr>
        <w:rFonts w:ascii="mylotus" w:hAnsi="mylotus" w:cs="mylotus" w:hint="cs"/>
        <w:color w:val="FF0000"/>
        <w:sz w:val="26"/>
        <w:szCs w:val="26"/>
        <w:rtl/>
      </w:rPr>
      <w:t>رجب</w:t>
    </w:r>
    <w:r w:rsidRPr="005F7776">
      <w:rPr>
        <w:rFonts w:ascii="mylotus" w:hAnsi="mylotus" w:cs="mylotus"/>
        <w:color w:val="FF0000"/>
        <w:sz w:val="26"/>
        <w:szCs w:val="26"/>
        <w:rtl/>
      </w:rPr>
      <w:t xml:space="preserve"> 1445هـ</w:t>
    </w:r>
    <w:r w:rsidR="00D0504B">
      <w:rPr>
        <w:rFonts w:ascii="mylotus" w:hAnsi="mylotus" w:cs="mylotus" w:hint="cs"/>
        <w:color w:val="FF0000"/>
        <w:sz w:val="26"/>
        <w:szCs w:val="26"/>
        <w:rtl/>
      </w:rPr>
      <w:t xml:space="preserve"> </w:t>
    </w:r>
    <w:r w:rsidR="004A08C5">
      <w:rPr>
        <w:rFonts w:ascii="mylotus" w:hAnsi="mylotus" w:cs="mylotus" w:hint="cs"/>
        <w:color w:val="FF0000"/>
        <w:sz w:val="26"/>
        <w:szCs w:val="26"/>
        <w:rtl/>
        <w:lang w:val="en-US"/>
      </w:rPr>
      <w:t xml:space="preserve">                </w:t>
    </w:r>
    <w:r w:rsidR="005414B9">
      <w:rPr>
        <w:rFonts w:ascii="mylotus" w:hAnsi="mylotus" w:cs="mylotus" w:hint="cs"/>
        <w:color w:val="FF0000"/>
        <w:sz w:val="26"/>
        <w:szCs w:val="26"/>
        <w:rtl/>
        <w:lang w:val="en-US"/>
      </w:rPr>
      <w:t xml:space="preserve">                            </w:t>
    </w:r>
    <w:bookmarkStart w:id="0" w:name="_GoBack"/>
    <w:bookmarkEnd w:id="0"/>
    <w:r w:rsidR="004A08C5">
      <w:rPr>
        <w:rFonts w:ascii="mylotus" w:hAnsi="mylotus" w:cs="mylotus" w:hint="cs"/>
        <w:color w:val="FF0000"/>
        <w:sz w:val="26"/>
        <w:szCs w:val="26"/>
        <w:rtl/>
        <w:lang w:val="en-US"/>
      </w:rPr>
      <w:t xml:space="preserve">                              </w:t>
    </w:r>
    <w:r w:rsidRPr="005F7776">
      <w:rPr>
        <w:rFonts w:ascii="mylotus" w:hAnsi="mylotus" w:cs="mylotus"/>
        <w:color w:val="FF0000"/>
        <w:sz w:val="26"/>
        <w:szCs w:val="26"/>
        <w:rtl/>
        <w:lang w:val="en-US"/>
      </w:rPr>
      <w:t>الأستاذ السيد منير الخباز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C46718" w14:textId="77777777" w:rsidR="005414B9" w:rsidRDefault="005414B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27D"/>
    <w:rsid w:val="0000034D"/>
    <w:rsid w:val="00012B79"/>
    <w:rsid w:val="00014E51"/>
    <w:rsid w:val="0003362C"/>
    <w:rsid w:val="00054F91"/>
    <w:rsid w:val="000634C0"/>
    <w:rsid w:val="00075B8F"/>
    <w:rsid w:val="00085C01"/>
    <w:rsid w:val="000868A0"/>
    <w:rsid w:val="0008774E"/>
    <w:rsid w:val="000C2631"/>
    <w:rsid w:val="000F2D22"/>
    <w:rsid w:val="00102391"/>
    <w:rsid w:val="00104288"/>
    <w:rsid w:val="00126819"/>
    <w:rsid w:val="001700E2"/>
    <w:rsid w:val="0018506F"/>
    <w:rsid w:val="00190CDF"/>
    <w:rsid w:val="001B36AE"/>
    <w:rsid w:val="001B7AAB"/>
    <w:rsid w:val="001D2C21"/>
    <w:rsid w:val="001D40F0"/>
    <w:rsid w:val="001F034F"/>
    <w:rsid w:val="002220AA"/>
    <w:rsid w:val="00225C1C"/>
    <w:rsid w:val="002339F1"/>
    <w:rsid w:val="002438AD"/>
    <w:rsid w:val="0024499D"/>
    <w:rsid w:val="002530E6"/>
    <w:rsid w:val="00257474"/>
    <w:rsid w:val="00283ED3"/>
    <w:rsid w:val="00294D72"/>
    <w:rsid w:val="002A79FA"/>
    <w:rsid w:val="002B4E62"/>
    <w:rsid w:val="002B5064"/>
    <w:rsid w:val="002C3704"/>
    <w:rsid w:val="002D0D9E"/>
    <w:rsid w:val="002D2D63"/>
    <w:rsid w:val="002F1501"/>
    <w:rsid w:val="00316628"/>
    <w:rsid w:val="003228E8"/>
    <w:rsid w:val="00331615"/>
    <w:rsid w:val="00341791"/>
    <w:rsid w:val="0035443E"/>
    <w:rsid w:val="0035715B"/>
    <w:rsid w:val="00380F9E"/>
    <w:rsid w:val="003A4C77"/>
    <w:rsid w:val="003C27B3"/>
    <w:rsid w:val="003C5C22"/>
    <w:rsid w:val="003E28FC"/>
    <w:rsid w:val="00402155"/>
    <w:rsid w:val="00416FF8"/>
    <w:rsid w:val="00417B1F"/>
    <w:rsid w:val="00426274"/>
    <w:rsid w:val="00434EF0"/>
    <w:rsid w:val="004417B4"/>
    <w:rsid w:val="00444116"/>
    <w:rsid w:val="004713E0"/>
    <w:rsid w:val="00487DED"/>
    <w:rsid w:val="004A08C5"/>
    <w:rsid w:val="004B03A0"/>
    <w:rsid w:val="004B14A5"/>
    <w:rsid w:val="004B76A6"/>
    <w:rsid w:val="004C2054"/>
    <w:rsid w:val="004D6F7D"/>
    <w:rsid w:val="0050790C"/>
    <w:rsid w:val="0051676D"/>
    <w:rsid w:val="00524E83"/>
    <w:rsid w:val="005365F6"/>
    <w:rsid w:val="005414B9"/>
    <w:rsid w:val="00560065"/>
    <w:rsid w:val="0058437E"/>
    <w:rsid w:val="00591778"/>
    <w:rsid w:val="00595632"/>
    <w:rsid w:val="005958A1"/>
    <w:rsid w:val="005A573C"/>
    <w:rsid w:val="005D1880"/>
    <w:rsid w:val="005D3B52"/>
    <w:rsid w:val="005F0F6F"/>
    <w:rsid w:val="005F70FF"/>
    <w:rsid w:val="005F7776"/>
    <w:rsid w:val="0060278A"/>
    <w:rsid w:val="00612084"/>
    <w:rsid w:val="006254BE"/>
    <w:rsid w:val="006333B1"/>
    <w:rsid w:val="00646A5D"/>
    <w:rsid w:val="00652CA2"/>
    <w:rsid w:val="0067710E"/>
    <w:rsid w:val="00694C4A"/>
    <w:rsid w:val="00696BDC"/>
    <w:rsid w:val="006A3CD3"/>
    <w:rsid w:val="006C341E"/>
    <w:rsid w:val="006C6C7F"/>
    <w:rsid w:val="006D031B"/>
    <w:rsid w:val="006D0642"/>
    <w:rsid w:val="006D6E7E"/>
    <w:rsid w:val="006E1B18"/>
    <w:rsid w:val="006F6650"/>
    <w:rsid w:val="00700878"/>
    <w:rsid w:val="00700C70"/>
    <w:rsid w:val="00701077"/>
    <w:rsid w:val="00701E4F"/>
    <w:rsid w:val="007237A9"/>
    <w:rsid w:val="007310D4"/>
    <w:rsid w:val="00740CF8"/>
    <w:rsid w:val="00753B14"/>
    <w:rsid w:val="0076539C"/>
    <w:rsid w:val="00772708"/>
    <w:rsid w:val="00776E98"/>
    <w:rsid w:val="00781258"/>
    <w:rsid w:val="00791C2B"/>
    <w:rsid w:val="007926E8"/>
    <w:rsid w:val="007A1A5D"/>
    <w:rsid w:val="007A59E2"/>
    <w:rsid w:val="007B25DF"/>
    <w:rsid w:val="007D0826"/>
    <w:rsid w:val="007D2646"/>
    <w:rsid w:val="007D2DF4"/>
    <w:rsid w:val="007D3C58"/>
    <w:rsid w:val="007D6129"/>
    <w:rsid w:val="007F2A1F"/>
    <w:rsid w:val="00836BC1"/>
    <w:rsid w:val="00850894"/>
    <w:rsid w:val="00886478"/>
    <w:rsid w:val="00894564"/>
    <w:rsid w:val="00895528"/>
    <w:rsid w:val="008A7669"/>
    <w:rsid w:val="008B2173"/>
    <w:rsid w:val="008B2BF2"/>
    <w:rsid w:val="008B5A1B"/>
    <w:rsid w:val="008B6C9C"/>
    <w:rsid w:val="008C18BC"/>
    <w:rsid w:val="008C59F7"/>
    <w:rsid w:val="008D0522"/>
    <w:rsid w:val="008D1AF3"/>
    <w:rsid w:val="008D2DBE"/>
    <w:rsid w:val="008E10C9"/>
    <w:rsid w:val="009076DD"/>
    <w:rsid w:val="009153E5"/>
    <w:rsid w:val="00946D46"/>
    <w:rsid w:val="00950CF6"/>
    <w:rsid w:val="00952DCA"/>
    <w:rsid w:val="0095312D"/>
    <w:rsid w:val="00963C62"/>
    <w:rsid w:val="00964B73"/>
    <w:rsid w:val="0096623A"/>
    <w:rsid w:val="0097647D"/>
    <w:rsid w:val="0098687C"/>
    <w:rsid w:val="00994D9F"/>
    <w:rsid w:val="009954B5"/>
    <w:rsid w:val="009B1550"/>
    <w:rsid w:val="009B3301"/>
    <w:rsid w:val="009C701E"/>
    <w:rsid w:val="009D7D48"/>
    <w:rsid w:val="009E5EBF"/>
    <w:rsid w:val="009E651D"/>
    <w:rsid w:val="009F4BE3"/>
    <w:rsid w:val="00A04BE3"/>
    <w:rsid w:val="00A0527F"/>
    <w:rsid w:val="00A06115"/>
    <w:rsid w:val="00A1068D"/>
    <w:rsid w:val="00A162A4"/>
    <w:rsid w:val="00A43232"/>
    <w:rsid w:val="00A5027D"/>
    <w:rsid w:val="00A50831"/>
    <w:rsid w:val="00A53B73"/>
    <w:rsid w:val="00A53FEA"/>
    <w:rsid w:val="00A66546"/>
    <w:rsid w:val="00A92C34"/>
    <w:rsid w:val="00A932D7"/>
    <w:rsid w:val="00AA74E6"/>
    <w:rsid w:val="00AB0BF9"/>
    <w:rsid w:val="00AB2506"/>
    <w:rsid w:val="00AB4593"/>
    <w:rsid w:val="00AC0335"/>
    <w:rsid w:val="00AC2737"/>
    <w:rsid w:val="00AE3EA6"/>
    <w:rsid w:val="00AF658D"/>
    <w:rsid w:val="00B05107"/>
    <w:rsid w:val="00B05627"/>
    <w:rsid w:val="00B07F43"/>
    <w:rsid w:val="00B148FC"/>
    <w:rsid w:val="00B15C12"/>
    <w:rsid w:val="00B24C0B"/>
    <w:rsid w:val="00B27FD9"/>
    <w:rsid w:val="00B42E19"/>
    <w:rsid w:val="00B44892"/>
    <w:rsid w:val="00B4551F"/>
    <w:rsid w:val="00B65C14"/>
    <w:rsid w:val="00B70A67"/>
    <w:rsid w:val="00B77EC8"/>
    <w:rsid w:val="00B81EB8"/>
    <w:rsid w:val="00B87CBD"/>
    <w:rsid w:val="00B96BED"/>
    <w:rsid w:val="00BA53AA"/>
    <w:rsid w:val="00BB1CD3"/>
    <w:rsid w:val="00BD2206"/>
    <w:rsid w:val="00BD26E3"/>
    <w:rsid w:val="00BD7A64"/>
    <w:rsid w:val="00BF0852"/>
    <w:rsid w:val="00C017CB"/>
    <w:rsid w:val="00C02079"/>
    <w:rsid w:val="00C22646"/>
    <w:rsid w:val="00C3133B"/>
    <w:rsid w:val="00C44C63"/>
    <w:rsid w:val="00C51A22"/>
    <w:rsid w:val="00C57BF1"/>
    <w:rsid w:val="00C66064"/>
    <w:rsid w:val="00C705EB"/>
    <w:rsid w:val="00C72348"/>
    <w:rsid w:val="00C83005"/>
    <w:rsid w:val="00C90D23"/>
    <w:rsid w:val="00C96172"/>
    <w:rsid w:val="00C9737F"/>
    <w:rsid w:val="00C97837"/>
    <w:rsid w:val="00CB1F7A"/>
    <w:rsid w:val="00CB5F23"/>
    <w:rsid w:val="00CC72D7"/>
    <w:rsid w:val="00CD4C3D"/>
    <w:rsid w:val="00CE6FAD"/>
    <w:rsid w:val="00CF60B7"/>
    <w:rsid w:val="00D0504B"/>
    <w:rsid w:val="00D05950"/>
    <w:rsid w:val="00D12BC7"/>
    <w:rsid w:val="00D31E52"/>
    <w:rsid w:val="00D411AE"/>
    <w:rsid w:val="00D83D98"/>
    <w:rsid w:val="00D84C80"/>
    <w:rsid w:val="00D906DC"/>
    <w:rsid w:val="00D965CE"/>
    <w:rsid w:val="00DA0B26"/>
    <w:rsid w:val="00DA7AC6"/>
    <w:rsid w:val="00DB1F3D"/>
    <w:rsid w:val="00DD08B6"/>
    <w:rsid w:val="00DF0E53"/>
    <w:rsid w:val="00DF1A38"/>
    <w:rsid w:val="00DF2071"/>
    <w:rsid w:val="00E20D9C"/>
    <w:rsid w:val="00E37303"/>
    <w:rsid w:val="00E50090"/>
    <w:rsid w:val="00E5678F"/>
    <w:rsid w:val="00E567DE"/>
    <w:rsid w:val="00E62F33"/>
    <w:rsid w:val="00E706A4"/>
    <w:rsid w:val="00E73CE3"/>
    <w:rsid w:val="00E7460D"/>
    <w:rsid w:val="00E80680"/>
    <w:rsid w:val="00E91C1E"/>
    <w:rsid w:val="00E925D2"/>
    <w:rsid w:val="00EB313E"/>
    <w:rsid w:val="00EC0098"/>
    <w:rsid w:val="00EC2D5F"/>
    <w:rsid w:val="00ED27C3"/>
    <w:rsid w:val="00ED7012"/>
    <w:rsid w:val="00EF31C6"/>
    <w:rsid w:val="00EF4A02"/>
    <w:rsid w:val="00EF4E74"/>
    <w:rsid w:val="00F03EE5"/>
    <w:rsid w:val="00F102E2"/>
    <w:rsid w:val="00F13ED3"/>
    <w:rsid w:val="00F2232F"/>
    <w:rsid w:val="00F24EC7"/>
    <w:rsid w:val="00F31F05"/>
    <w:rsid w:val="00F52DC7"/>
    <w:rsid w:val="00F6280E"/>
    <w:rsid w:val="00F6536F"/>
    <w:rsid w:val="00F72F28"/>
    <w:rsid w:val="00F760D6"/>
    <w:rsid w:val="00F76336"/>
    <w:rsid w:val="00F83D13"/>
    <w:rsid w:val="00F9000E"/>
    <w:rsid w:val="00FB2461"/>
    <w:rsid w:val="00FB61E8"/>
    <w:rsid w:val="00FC2FF8"/>
    <w:rsid w:val="00FC7F35"/>
    <w:rsid w:val="00FE0CE1"/>
    <w:rsid w:val="00FE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0D66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228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المحسن"/>
    <w:rsid w:val="00A5027D"/>
    <w:pPr>
      <w:bidi/>
      <w:spacing w:line="540" w:lineRule="exact"/>
      <w:ind w:firstLine="0"/>
    </w:pPr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1">
    <w:name w:val="heading 1"/>
    <w:aliases w:val="- -"/>
    <w:basedOn w:val="a0"/>
    <w:link w:val="1Char"/>
    <w:uiPriority w:val="9"/>
    <w:qFormat/>
    <w:rsid w:val="00CB1F7A"/>
    <w:pPr>
      <w:outlineLvl w:val="0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الحاشية"/>
    <w:basedOn w:val="a5"/>
    <w:uiPriority w:val="1"/>
    <w:qFormat/>
    <w:rsid w:val="00CB1F7A"/>
    <w:pPr>
      <w:spacing w:line="240" w:lineRule="auto"/>
      <w:ind w:firstLine="0"/>
    </w:pPr>
    <w:rPr>
      <w:sz w:val="22"/>
      <w:szCs w:val="22"/>
    </w:rPr>
  </w:style>
  <w:style w:type="character" w:customStyle="1" w:styleId="1Char">
    <w:name w:val="عنوان 1 Char"/>
    <w:aliases w:val="- - Char"/>
    <w:basedOn w:val="a1"/>
    <w:link w:val="1"/>
    <w:uiPriority w:val="9"/>
    <w:rsid w:val="00CB1F7A"/>
    <w:rPr>
      <w:rFonts w:ascii="almohsin" w:hAnsi="almohsin" w:cs="almohsin"/>
      <w:sz w:val="22"/>
      <w:szCs w:val="22"/>
    </w:rPr>
  </w:style>
  <w:style w:type="paragraph" w:styleId="a5">
    <w:name w:val="footnote text"/>
    <w:basedOn w:val="a"/>
    <w:link w:val="Char"/>
    <w:uiPriority w:val="99"/>
    <w:semiHidden/>
    <w:unhideWhenUsed/>
    <w:rsid w:val="003C5C22"/>
    <w:pPr>
      <w:bidi w:val="0"/>
      <w:spacing w:line="228" w:lineRule="auto"/>
      <w:ind w:firstLine="567"/>
    </w:pPr>
    <w:rPr>
      <w:rFonts w:ascii="almohsin" w:eastAsia="Times New Roman" w:hAnsi="almohsin" w:cs="almohsin"/>
      <w:sz w:val="20"/>
      <w:szCs w:val="20"/>
      <w:lang w:val="en-US"/>
    </w:rPr>
  </w:style>
  <w:style w:type="character" w:customStyle="1" w:styleId="Char">
    <w:name w:val="نص حاشية سفلية Char"/>
    <w:basedOn w:val="a1"/>
    <w:link w:val="a5"/>
    <w:uiPriority w:val="99"/>
    <w:semiHidden/>
    <w:rsid w:val="003C5C22"/>
    <w:rPr>
      <w:rFonts w:ascii="almohsin" w:hAnsi="almohsin" w:cs="almohsin"/>
    </w:rPr>
  </w:style>
  <w:style w:type="character" w:customStyle="1" w:styleId="Char0">
    <w:name w:val="المحسن Char"/>
    <w:basedOn w:val="a1"/>
    <w:rsid w:val="003A4C77"/>
    <w:rPr>
      <w:rFonts w:ascii="almohsin" w:hAnsi="almohsin" w:cs="almohsin"/>
      <w:sz w:val="30"/>
      <w:szCs w:val="30"/>
    </w:rPr>
  </w:style>
  <w:style w:type="paragraph" w:customStyle="1" w:styleId="a6">
    <w:name w:val="عنوان باب"/>
    <w:basedOn w:val="a"/>
    <w:link w:val="Char1"/>
    <w:qFormat/>
    <w:rsid w:val="00FB61E8"/>
    <w:pPr>
      <w:widowControl w:val="0"/>
      <w:tabs>
        <w:tab w:val="left" w:pos="2862"/>
        <w:tab w:val="center" w:pos="3685"/>
      </w:tabs>
      <w:spacing w:after="240" w:line="228" w:lineRule="auto"/>
      <w:jc w:val="center"/>
    </w:pPr>
    <w:rPr>
      <w:rFonts w:ascii="almohsin" w:eastAsia="Times New Roman" w:hAnsi="almohsin" w:cs="mylotus"/>
      <w:b/>
      <w:bCs/>
      <w:sz w:val="50"/>
      <w:szCs w:val="50"/>
      <w:lang w:val="en-US"/>
    </w:rPr>
  </w:style>
  <w:style w:type="character" w:customStyle="1" w:styleId="Char1">
    <w:name w:val="عنوان باب Char"/>
    <w:basedOn w:val="a1"/>
    <w:link w:val="a6"/>
    <w:rsid w:val="00FB61E8"/>
    <w:rPr>
      <w:rFonts w:ascii="almohsin" w:hAnsi="almohsin" w:cs="mylotus"/>
      <w:b/>
      <w:bCs/>
      <w:sz w:val="50"/>
      <w:szCs w:val="50"/>
    </w:rPr>
  </w:style>
  <w:style w:type="paragraph" w:customStyle="1" w:styleId="a0">
    <w:name w:val="المتن"/>
    <w:basedOn w:val="a"/>
    <w:link w:val="Char2"/>
    <w:qFormat/>
    <w:rsid w:val="00964B73"/>
    <w:pPr>
      <w:bidi w:val="0"/>
      <w:spacing w:line="228" w:lineRule="auto"/>
      <w:ind w:firstLine="397"/>
    </w:pPr>
    <w:rPr>
      <w:rFonts w:ascii="almohsin" w:eastAsia="Times New Roman" w:hAnsi="almohsin" w:cs="mylotus"/>
      <w:sz w:val="30"/>
      <w:lang w:val="en-US"/>
    </w:rPr>
  </w:style>
  <w:style w:type="character" w:customStyle="1" w:styleId="Char2">
    <w:name w:val="المتن Char"/>
    <w:basedOn w:val="a1"/>
    <w:link w:val="a0"/>
    <w:rsid w:val="00964B73"/>
    <w:rPr>
      <w:rFonts w:ascii="almohsin" w:hAnsi="almohsin" w:cs="mylotus"/>
      <w:sz w:val="30"/>
      <w:szCs w:val="32"/>
    </w:rPr>
  </w:style>
  <w:style w:type="paragraph" w:customStyle="1" w:styleId="a7">
    <w:name w:val="عنوان رئيس"/>
    <w:basedOn w:val="a0"/>
    <w:link w:val="Char3"/>
    <w:qFormat/>
    <w:rsid w:val="00FB61E8"/>
    <w:pPr>
      <w:ind w:firstLine="0"/>
      <w:jc w:val="center"/>
    </w:pPr>
    <w:rPr>
      <w:b/>
      <w:bCs/>
      <w:sz w:val="40"/>
      <w:szCs w:val="40"/>
    </w:rPr>
  </w:style>
  <w:style w:type="character" w:customStyle="1" w:styleId="Char3">
    <w:name w:val="عنوان رئيس Char"/>
    <w:basedOn w:val="Char2"/>
    <w:link w:val="a7"/>
    <w:rsid w:val="00FB61E8"/>
    <w:rPr>
      <w:rFonts w:ascii="almohsin" w:hAnsi="almohsin" w:cs="mylotus"/>
      <w:b/>
      <w:bCs/>
      <w:sz w:val="40"/>
      <w:szCs w:val="40"/>
    </w:rPr>
  </w:style>
  <w:style w:type="paragraph" w:customStyle="1" w:styleId="a8">
    <w:name w:val="عنوان فرع"/>
    <w:basedOn w:val="a7"/>
    <w:link w:val="Char4"/>
    <w:qFormat/>
    <w:rsid w:val="00CB1F7A"/>
  </w:style>
  <w:style w:type="character" w:customStyle="1" w:styleId="Char4">
    <w:name w:val="عنوان فرع Char"/>
    <w:basedOn w:val="Char3"/>
    <w:link w:val="a8"/>
    <w:rsid w:val="00CB1F7A"/>
    <w:rPr>
      <w:rFonts w:ascii="almohsin" w:hAnsi="almohsin" w:cs="almohsin"/>
      <w:b/>
      <w:bCs/>
      <w:sz w:val="40"/>
      <w:szCs w:val="40"/>
    </w:rPr>
  </w:style>
  <w:style w:type="paragraph" w:styleId="a9">
    <w:name w:val="header"/>
    <w:aliases w:val="رأس صفحة"/>
    <w:basedOn w:val="a"/>
    <w:link w:val="Char5"/>
    <w:uiPriority w:val="99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5">
    <w:name w:val="رأس الصفحة Char"/>
    <w:aliases w:val="رأس صفحة Char"/>
    <w:basedOn w:val="a1"/>
    <w:link w:val="a9"/>
    <w:uiPriority w:val="9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a">
    <w:name w:val="footer"/>
    <w:basedOn w:val="a"/>
    <w:link w:val="Char6"/>
    <w:uiPriority w:val="99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6">
    <w:name w:val="تذييل الصفحة Char"/>
    <w:basedOn w:val="a1"/>
    <w:link w:val="aa"/>
    <w:uiPriority w:val="9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b">
    <w:name w:val="Balloon Text"/>
    <w:basedOn w:val="a"/>
    <w:link w:val="Char7"/>
    <w:uiPriority w:val="99"/>
    <w:semiHidden/>
    <w:unhideWhenUsed/>
    <w:rsid w:val="00BF08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7">
    <w:name w:val="نص في بالون Char"/>
    <w:basedOn w:val="a1"/>
    <w:link w:val="ab"/>
    <w:uiPriority w:val="99"/>
    <w:semiHidden/>
    <w:rsid w:val="00BF0852"/>
    <w:rPr>
      <w:rFonts w:ascii="Tahoma" w:eastAsia="Calibri" w:hAnsi="Tahoma" w:cs="Tahoma"/>
      <w:sz w:val="16"/>
      <w:szCs w:val="16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228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المحسن"/>
    <w:rsid w:val="00A5027D"/>
    <w:pPr>
      <w:bidi/>
      <w:spacing w:line="540" w:lineRule="exact"/>
      <w:ind w:firstLine="0"/>
    </w:pPr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1">
    <w:name w:val="heading 1"/>
    <w:aliases w:val="- -"/>
    <w:basedOn w:val="a0"/>
    <w:link w:val="1Char"/>
    <w:uiPriority w:val="9"/>
    <w:qFormat/>
    <w:rsid w:val="00CB1F7A"/>
    <w:pPr>
      <w:outlineLvl w:val="0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الحاشية"/>
    <w:basedOn w:val="a5"/>
    <w:uiPriority w:val="1"/>
    <w:qFormat/>
    <w:rsid w:val="00CB1F7A"/>
    <w:pPr>
      <w:spacing w:line="240" w:lineRule="auto"/>
      <w:ind w:firstLine="0"/>
    </w:pPr>
    <w:rPr>
      <w:sz w:val="22"/>
      <w:szCs w:val="22"/>
    </w:rPr>
  </w:style>
  <w:style w:type="character" w:customStyle="1" w:styleId="1Char">
    <w:name w:val="عنوان 1 Char"/>
    <w:aliases w:val="- - Char"/>
    <w:basedOn w:val="a1"/>
    <w:link w:val="1"/>
    <w:uiPriority w:val="9"/>
    <w:rsid w:val="00CB1F7A"/>
    <w:rPr>
      <w:rFonts w:ascii="almohsin" w:hAnsi="almohsin" w:cs="almohsin"/>
      <w:sz w:val="22"/>
      <w:szCs w:val="22"/>
    </w:rPr>
  </w:style>
  <w:style w:type="paragraph" w:styleId="a5">
    <w:name w:val="footnote text"/>
    <w:basedOn w:val="a"/>
    <w:link w:val="Char"/>
    <w:uiPriority w:val="99"/>
    <w:semiHidden/>
    <w:unhideWhenUsed/>
    <w:rsid w:val="003C5C22"/>
    <w:pPr>
      <w:bidi w:val="0"/>
      <w:spacing w:line="228" w:lineRule="auto"/>
      <w:ind w:firstLine="567"/>
    </w:pPr>
    <w:rPr>
      <w:rFonts w:ascii="almohsin" w:eastAsia="Times New Roman" w:hAnsi="almohsin" w:cs="almohsin"/>
      <w:sz w:val="20"/>
      <w:szCs w:val="20"/>
      <w:lang w:val="en-US"/>
    </w:rPr>
  </w:style>
  <w:style w:type="character" w:customStyle="1" w:styleId="Char">
    <w:name w:val="نص حاشية سفلية Char"/>
    <w:basedOn w:val="a1"/>
    <w:link w:val="a5"/>
    <w:uiPriority w:val="99"/>
    <w:semiHidden/>
    <w:rsid w:val="003C5C22"/>
    <w:rPr>
      <w:rFonts w:ascii="almohsin" w:hAnsi="almohsin" w:cs="almohsin"/>
    </w:rPr>
  </w:style>
  <w:style w:type="character" w:customStyle="1" w:styleId="Char0">
    <w:name w:val="المحسن Char"/>
    <w:basedOn w:val="a1"/>
    <w:rsid w:val="003A4C77"/>
    <w:rPr>
      <w:rFonts w:ascii="almohsin" w:hAnsi="almohsin" w:cs="almohsin"/>
      <w:sz w:val="30"/>
      <w:szCs w:val="30"/>
    </w:rPr>
  </w:style>
  <w:style w:type="paragraph" w:customStyle="1" w:styleId="a6">
    <w:name w:val="عنوان باب"/>
    <w:basedOn w:val="a"/>
    <w:link w:val="Char1"/>
    <w:qFormat/>
    <w:rsid w:val="00FB61E8"/>
    <w:pPr>
      <w:widowControl w:val="0"/>
      <w:tabs>
        <w:tab w:val="left" w:pos="2862"/>
        <w:tab w:val="center" w:pos="3685"/>
      </w:tabs>
      <w:spacing w:after="240" w:line="228" w:lineRule="auto"/>
      <w:jc w:val="center"/>
    </w:pPr>
    <w:rPr>
      <w:rFonts w:ascii="almohsin" w:eastAsia="Times New Roman" w:hAnsi="almohsin" w:cs="mylotus"/>
      <w:b/>
      <w:bCs/>
      <w:sz w:val="50"/>
      <w:szCs w:val="50"/>
      <w:lang w:val="en-US"/>
    </w:rPr>
  </w:style>
  <w:style w:type="character" w:customStyle="1" w:styleId="Char1">
    <w:name w:val="عنوان باب Char"/>
    <w:basedOn w:val="a1"/>
    <w:link w:val="a6"/>
    <w:rsid w:val="00FB61E8"/>
    <w:rPr>
      <w:rFonts w:ascii="almohsin" w:hAnsi="almohsin" w:cs="mylotus"/>
      <w:b/>
      <w:bCs/>
      <w:sz w:val="50"/>
      <w:szCs w:val="50"/>
    </w:rPr>
  </w:style>
  <w:style w:type="paragraph" w:customStyle="1" w:styleId="a0">
    <w:name w:val="المتن"/>
    <w:basedOn w:val="a"/>
    <w:link w:val="Char2"/>
    <w:qFormat/>
    <w:rsid w:val="00964B73"/>
    <w:pPr>
      <w:bidi w:val="0"/>
      <w:spacing w:line="228" w:lineRule="auto"/>
      <w:ind w:firstLine="397"/>
    </w:pPr>
    <w:rPr>
      <w:rFonts w:ascii="almohsin" w:eastAsia="Times New Roman" w:hAnsi="almohsin" w:cs="mylotus"/>
      <w:sz w:val="30"/>
      <w:lang w:val="en-US"/>
    </w:rPr>
  </w:style>
  <w:style w:type="character" w:customStyle="1" w:styleId="Char2">
    <w:name w:val="المتن Char"/>
    <w:basedOn w:val="a1"/>
    <w:link w:val="a0"/>
    <w:rsid w:val="00964B73"/>
    <w:rPr>
      <w:rFonts w:ascii="almohsin" w:hAnsi="almohsin" w:cs="mylotus"/>
      <w:sz w:val="30"/>
      <w:szCs w:val="32"/>
    </w:rPr>
  </w:style>
  <w:style w:type="paragraph" w:customStyle="1" w:styleId="a7">
    <w:name w:val="عنوان رئيس"/>
    <w:basedOn w:val="a0"/>
    <w:link w:val="Char3"/>
    <w:qFormat/>
    <w:rsid w:val="00FB61E8"/>
    <w:pPr>
      <w:ind w:firstLine="0"/>
      <w:jc w:val="center"/>
    </w:pPr>
    <w:rPr>
      <w:b/>
      <w:bCs/>
      <w:sz w:val="40"/>
      <w:szCs w:val="40"/>
    </w:rPr>
  </w:style>
  <w:style w:type="character" w:customStyle="1" w:styleId="Char3">
    <w:name w:val="عنوان رئيس Char"/>
    <w:basedOn w:val="Char2"/>
    <w:link w:val="a7"/>
    <w:rsid w:val="00FB61E8"/>
    <w:rPr>
      <w:rFonts w:ascii="almohsin" w:hAnsi="almohsin" w:cs="mylotus"/>
      <w:b/>
      <w:bCs/>
      <w:sz w:val="40"/>
      <w:szCs w:val="40"/>
    </w:rPr>
  </w:style>
  <w:style w:type="paragraph" w:customStyle="1" w:styleId="a8">
    <w:name w:val="عنوان فرع"/>
    <w:basedOn w:val="a7"/>
    <w:link w:val="Char4"/>
    <w:qFormat/>
    <w:rsid w:val="00CB1F7A"/>
  </w:style>
  <w:style w:type="character" w:customStyle="1" w:styleId="Char4">
    <w:name w:val="عنوان فرع Char"/>
    <w:basedOn w:val="Char3"/>
    <w:link w:val="a8"/>
    <w:rsid w:val="00CB1F7A"/>
    <w:rPr>
      <w:rFonts w:ascii="almohsin" w:hAnsi="almohsin" w:cs="almohsin"/>
      <w:b/>
      <w:bCs/>
      <w:sz w:val="40"/>
      <w:szCs w:val="40"/>
    </w:rPr>
  </w:style>
  <w:style w:type="paragraph" w:styleId="a9">
    <w:name w:val="header"/>
    <w:aliases w:val="رأس صفحة"/>
    <w:basedOn w:val="a"/>
    <w:link w:val="Char5"/>
    <w:uiPriority w:val="99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5">
    <w:name w:val="رأس الصفحة Char"/>
    <w:aliases w:val="رأس صفحة Char"/>
    <w:basedOn w:val="a1"/>
    <w:link w:val="a9"/>
    <w:uiPriority w:val="9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a">
    <w:name w:val="footer"/>
    <w:basedOn w:val="a"/>
    <w:link w:val="Char6"/>
    <w:uiPriority w:val="99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6">
    <w:name w:val="تذييل الصفحة Char"/>
    <w:basedOn w:val="a1"/>
    <w:link w:val="aa"/>
    <w:uiPriority w:val="9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b">
    <w:name w:val="Balloon Text"/>
    <w:basedOn w:val="a"/>
    <w:link w:val="Char7"/>
    <w:uiPriority w:val="99"/>
    <w:semiHidden/>
    <w:unhideWhenUsed/>
    <w:rsid w:val="00BF08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7">
    <w:name w:val="نص في بالون Char"/>
    <w:basedOn w:val="a1"/>
    <w:link w:val="ab"/>
    <w:uiPriority w:val="99"/>
    <w:semiHidden/>
    <w:rsid w:val="00BF0852"/>
    <w:rPr>
      <w:rFonts w:ascii="Tahoma" w:eastAsia="Calibri" w:hAnsi="Tahoma" w:cs="Tahoma"/>
      <w:sz w:val="16"/>
      <w:szCs w:val="16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qeel\Desktop\&#1602;&#1575;&#1604;&#1576;%20A4.dotx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69DC4-B2D1-4DEE-AB0E-4569406F3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قالب A4</Template>
  <TotalTime>34</TotalTime>
  <Pages>5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8370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عقيل آل انتيف</dc:creator>
  <cp:lastModifiedBy>عقيل آل انتيف</cp:lastModifiedBy>
  <cp:revision>8</cp:revision>
  <cp:lastPrinted>2024-01-18T22:27:00Z</cp:lastPrinted>
  <dcterms:created xsi:type="dcterms:W3CDTF">2024-01-17T21:52:00Z</dcterms:created>
  <dcterms:modified xsi:type="dcterms:W3CDTF">2024-01-20T14:19:00Z</dcterms:modified>
</cp:coreProperties>
</file>