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2106F591" w14:textId="77777777" w:rsidR="00A6614D" w:rsidRDefault="00AC2737" w:rsidP="00A6614D">
      <w:pPr>
        <w:pStyle w:val="a0"/>
        <w:bidi/>
        <w:spacing w:line="216" w:lineRule="auto"/>
        <w:jc w:val="center"/>
        <w:rPr>
          <w:rFonts w:ascii="mylotus" w:hAnsi="mylotus"/>
          <w:b/>
          <w:bCs/>
          <w:sz w:val="34"/>
          <w:szCs w:val="34"/>
          <w:rtl/>
        </w:rPr>
      </w:pPr>
      <w:r w:rsidRPr="005F7776">
        <w:rPr>
          <w:rFonts w:ascii="mylotus" w:hAnsi="mylotus"/>
          <w:b/>
          <w:bCs/>
          <w:sz w:val="34"/>
          <w:szCs w:val="34"/>
          <w:rtl/>
        </w:rPr>
        <w:t>واللعن الدائم على أعدائهم أجمعين إلى قيام يوم الدين</w:t>
      </w:r>
    </w:p>
    <w:p w14:paraId="38AC4356" w14:textId="77777777" w:rsidR="00A80C28" w:rsidRDefault="00A80C28" w:rsidP="00A6614D">
      <w:pPr>
        <w:pStyle w:val="a0"/>
        <w:bidi/>
        <w:spacing w:line="216" w:lineRule="auto"/>
        <w:jc w:val="left"/>
        <w:rPr>
          <w:rFonts w:ascii="mylotus" w:hAnsi="mylotus"/>
          <w:b/>
          <w:bCs/>
          <w:sz w:val="34"/>
          <w:szCs w:val="34"/>
          <w:rtl/>
        </w:rPr>
      </w:pPr>
    </w:p>
    <w:p w14:paraId="0B298C58" w14:textId="156D95C2" w:rsidR="00A6614D" w:rsidRDefault="00A6614D" w:rsidP="00A80C28">
      <w:pPr>
        <w:pStyle w:val="a0"/>
        <w:bidi/>
        <w:spacing w:line="216" w:lineRule="auto"/>
        <w:rPr>
          <w:rFonts w:ascii="mylotus" w:hAnsi="mylotus"/>
          <w:b/>
          <w:bCs/>
          <w:sz w:val="34"/>
          <w:szCs w:val="34"/>
          <w:rtl/>
        </w:rPr>
      </w:pPr>
      <w:r w:rsidRPr="00A6614D">
        <w:rPr>
          <w:rFonts w:ascii="mylotus" w:hAnsi="mylotus"/>
          <w:b/>
          <w:bCs/>
          <w:sz w:val="34"/>
          <w:szCs w:val="34"/>
          <w:rtl/>
        </w:rPr>
        <w:t>والحاصل:</w:t>
      </w:r>
      <w:r w:rsidR="00A80C28">
        <w:rPr>
          <w:rFonts w:ascii="mylotus" w:hAnsi="mylotus"/>
          <w:sz w:val="34"/>
          <w:szCs w:val="34"/>
          <w:rtl/>
        </w:rPr>
        <w:t xml:space="preserve"> </w:t>
      </w:r>
      <w:r w:rsidRPr="00A6614D">
        <w:rPr>
          <w:rFonts w:ascii="mylotus" w:hAnsi="mylotus"/>
          <w:sz w:val="34"/>
          <w:szCs w:val="34"/>
          <w:rtl/>
        </w:rPr>
        <w:t xml:space="preserve">أن ما ذكره سيدنا الخوئي قدس سره </w:t>
      </w:r>
      <w:r>
        <w:rPr>
          <w:rFonts w:ascii="mylotus" w:hAnsi="mylotus" w:hint="cs"/>
          <w:sz w:val="34"/>
          <w:szCs w:val="34"/>
          <w:rtl/>
        </w:rPr>
        <w:t xml:space="preserve">الشريف </w:t>
      </w:r>
      <w:r w:rsidRPr="00A6614D">
        <w:rPr>
          <w:rFonts w:ascii="mylotus" w:hAnsi="mylotus"/>
          <w:sz w:val="34"/>
          <w:szCs w:val="34"/>
          <w:rtl/>
        </w:rPr>
        <w:t>من إمكان أن يستأجر ولي</w:t>
      </w:r>
      <w:r>
        <w:rPr>
          <w:rFonts w:ascii="mylotus" w:hAnsi="mylotus" w:hint="cs"/>
          <w:sz w:val="34"/>
          <w:szCs w:val="34"/>
          <w:rtl/>
        </w:rPr>
        <w:t>ّ</w:t>
      </w:r>
      <w:r w:rsidRPr="00A6614D">
        <w:rPr>
          <w:rFonts w:ascii="mylotus" w:hAnsi="mylotus"/>
          <w:sz w:val="34"/>
          <w:szCs w:val="34"/>
          <w:rtl/>
        </w:rPr>
        <w:t xml:space="preserve"> الواقف عيناً فيمتلك منفعتها لا بشخصه</w:t>
      </w:r>
      <w:r w:rsidR="00A80C28">
        <w:rPr>
          <w:rFonts w:ascii="mylotus" w:hAnsi="mylotus"/>
          <w:sz w:val="34"/>
          <w:szCs w:val="34"/>
          <w:rtl/>
        </w:rPr>
        <w:t xml:space="preserve"> </w:t>
      </w:r>
      <w:r w:rsidRPr="00A6614D">
        <w:rPr>
          <w:rFonts w:ascii="mylotus" w:hAnsi="mylotus"/>
          <w:sz w:val="34"/>
          <w:szCs w:val="34"/>
          <w:rtl/>
        </w:rPr>
        <w:t>بل بما هو ولي، مورد لملاحظتين</w:t>
      </w:r>
      <w:r w:rsidRPr="00A6614D">
        <w:rPr>
          <w:rFonts w:ascii="mylotus" w:hAnsi="mylotus"/>
          <w:sz w:val="34"/>
          <w:szCs w:val="34"/>
        </w:rPr>
        <w:t>:</w:t>
      </w:r>
    </w:p>
    <w:p w14:paraId="2F07A37B" w14:textId="77777777" w:rsidR="00A6614D" w:rsidRDefault="00A6614D" w:rsidP="00A80C28">
      <w:pPr>
        <w:pStyle w:val="a0"/>
        <w:bidi/>
        <w:spacing w:line="216" w:lineRule="auto"/>
        <w:rPr>
          <w:rFonts w:ascii="mylotus" w:hAnsi="mylotus"/>
          <w:b/>
          <w:bCs/>
          <w:sz w:val="34"/>
          <w:szCs w:val="34"/>
          <w:rtl/>
        </w:rPr>
      </w:pPr>
      <w:r w:rsidRPr="00A6614D">
        <w:rPr>
          <w:rFonts w:ascii="mylotus" w:hAnsi="mylotus"/>
          <w:b/>
          <w:bCs/>
          <w:sz w:val="34"/>
          <w:szCs w:val="34"/>
          <w:rtl/>
        </w:rPr>
        <w:t>الملاحظة الأولى:</w:t>
      </w:r>
      <w:r w:rsidRPr="00A6614D">
        <w:rPr>
          <w:rFonts w:ascii="mylotus" w:hAnsi="mylotus"/>
          <w:sz w:val="34"/>
          <w:szCs w:val="34"/>
          <w:rtl/>
        </w:rPr>
        <w:t xml:space="preserve"> من مصبا</w:t>
      </w:r>
      <w:r>
        <w:rPr>
          <w:rFonts w:ascii="mylotus" w:hAnsi="mylotus" w:hint="cs"/>
          <w:sz w:val="34"/>
          <w:szCs w:val="34"/>
          <w:rtl/>
        </w:rPr>
        <w:t>ح</w:t>
      </w:r>
      <w:r w:rsidRPr="00A6614D">
        <w:rPr>
          <w:rFonts w:ascii="mylotus" w:hAnsi="mylotus"/>
          <w:sz w:val="34"/>
          <w:szCs w:val="34"/>
          <w:rtl/>
        </w:rPr>
        <w:t xml:space="preserve"> المنهاج، وحاصلها</w:t>
      </w:r>
      <w:r>
        <w:rPr>
          <w:rFonts w:ascii="mylotus" w:hAnsi="mylotus" w:hint="cs"/>
          <w:sz w:val="34"/>
          <w:szCs w:val="34"/>
          <w:rtl/>
        </w:rPr>
        <w:t>:</w:t>
      </w:r>
      <w:r w:rsidRPr="00A6614D">
        <w:rPr>
          <w:rFonts w:ascii="mylotus" w:hAnsi="mylotus"/>
          <w:sz w:val="34"/>
          <w:szCs w:val="34"/>
          <w:rtl/>
        </w:rPr>
        <w:t xml:space="preserve"> أن الولاية من قبيل النيابة، حيث إن النيابة على قسمين: جعلية من قبل العاقل الملتفت كما في الوكالة والوصاية، وشرعية كما في ولاية الحاكم الشرعي أو الأب والجد على أموال القاصرين؛ فإن نيابتهما عن المولّى عليه في التصرف في أمواله بجعل من المشرع لا بتعيين من المولّى عليه، ومقتضى كون الولاية من قبيل النيابة أن يكون طرف المعاملة الصادرة من الولي هو المولّى عليه لا الولي، فإن كون طرف المعاملة هو الولي دون المولّى عليه خلف كون الولاية من قبيل النيابة وقيام الولي مقام المولّى عليه</w:t>
      </w:r>
      <w:r w:rsidRPr="00A6614D">
        <w:rPr>
          <w:rFonts w:ascii="mylotus" w:hAnsi="mylotus"/>
          <w:sz w:val="34"/>
          <w:szCs w:val="34"/>
        </w:rPr>
        <w:t>.</w:t>
      </w:r>
    </w:p>
    <w:p w14:paraId="3BB54A1D" w14:textId="77777777" w:rsidR="00A6614D" w:rsidRDefault="00A6614D" w:rsidP="00A80C28">
      <w:pPr>
        <w:pStyle w:val="a0"/>
        <w:bidi/>
        <w:spacing w:line="216" w:lineRule="auto"/>
        <w:rPr>
          <w:rFonts w:ascii="mylotus" w:hAnsi="mylotus"/>
          <w:sz w:val="34"/>
          <w:szCs w:val="34"/>
          <w:rtl/>
        </w:rPr>
      </w:pPr>
      <w:r w:rsidRPr="00A6614D">
        <w:rPr>
          <w:rFonts w:ascii="mylotus" w:hAnsi="mylotus"/>
          <w:b/>
          <w:bCs/>
          <w:sz w:val="34"/>
          <w:szCs w:val="34"/>
          <w:rtl/>
        </w:rPr>
        <w:t>الملاحظة الثانية:</w:t>
      </w:r>
      <w:r w:rsidRPr="00A6614D">
        <w:rPr>
          <w:rFonts w:ascii="mylotus" w:hAnsi="mylotus"/>
          <w:sz w:val="34"/>
          <w:szCs w:val="34"/>
          <w:rtl/>
        </w:rPr>
        <w:t xml:space="preserve"> ما ذكره بعض الأعلام رحمه الله [في كتاب الإجارة ج1 ص16] ومحصله</w:t>
      </w:r>
      <w:r>
        <w:rPr>
          <w:rFonts w:ascii="mylotus" w:hAnsi="mylotus" w:hint="cs"/>
          <w:sz w:val="34"/>
          <w:szCs w:val="34"/>
          <w:rtl/>
        </w:rPr>
        <w:t>:</w:t>
      </w:r>
      <w:r w:rsidRPr="00A6614D">
        <w:rPr>
          <w:rFonts w:ascii="mylotus" w:hAnsi="mylotus"/>
          <w:sz w:val="34"/>
          <w:szCs w:val="34"/>
          <w:rtl/>
        </w:rPr>
        <w:t xml:space="preserve"> أن الولاية ليست إلا ملك التصرف القانوني في مال المولّى عليه، وأثر ملك التصرف نفوذه في مال المولّى عليه إذا اقتضته المصلحة.</w:t>
      </w:r>
    </w:p>
    <w:p w14:paraId="7A14CB45" w14:textId="650AA3DB" w:rsidR="00A6614D" w:rsidRDefault="00A6614D" w:rsidP="00A80C28">
      <w:pPr>
        <w:pStyle w:val="a0"/>
        <w:bidi/>
        <w:spacing w:line="216" w:lineRule="auto"/>
        <w:rPr>
          <w:rFonts w:ascii="mylotus" w:hAnsi="mylotus"/>
          <w:sz w:val="34"/>
          <w:szCs w:val="34"/>
          <w:rtl/>
        </w:rPr>
      </w:pPr>
      <w:r w:rsidRPr="00A6614D">
        <w:rPr>
          <w:rFonts w:ascii="mylotus" w:hAnsi="mylotus"/>
          <w:sz w:val="34"/>
          <w:szCs w:val="34"/>
          <w:rtl/>
        </w:rPr>
        <w:t>ومن الواضح أن الولاية بهذا المعنى - أي نفوذ التصرف في مال المولى عليه إذا اقتضه المصلحة - لا يقتضي</w:t>
      </w:r>
      <w:r w:rsidR="00A80C28">
        <w:rPr>
          <w:rFonts w:ascii="mylotus" w:hAnsi="mylotus"/>
          <w:sz w:val="34"/>
          <w:szCs w:val="34"/>
          <w:rtl/>
        </w:rPr>
        <w:t xml:space="preserve"> </w:t>
      </w:r>
      <w:r w:rsidRPr="00A6614D">
        <w:rPr>
          <w:rFonts w:ascii="mylotus" w:hAnsi="mylotus"/>
          <w:sz w:val="34"/>
          <w:szCs w:val="34"/>
          <w:rtl/>
        </w:rPr>
        <w:t>انتقال المال إلى ملك الولي لا بشخصه ولا بما هو ولي</w:t>
      </w:r>
      <w:r>
        <w:rPr>
          <w:rFonts w:ascii="mylotus" w:hAnsi="mylotus" w:hint="cs"/>
          <w:sz w:val="34"/>
          <w:szCs w:val="34"/>
          <w:rtl/>
        </w:rPr>
        <w:t>؛</w:t>
      </w:r>
      <w:r w:rsidRPr="00A6614D">
        <w:rPr>
          <w:rFonts w:ascii="mylotus" w:hAnsi="mylotus"/>
          <w:sz w:val="34"/>
          <w:szCs w:val="34"/>
          <w:rtl/>
        </w:rPr>
        <w:t xml:space="preserve"> لأن حقيقة الولاية لا تقتضي انتقال ما</w:t>
      </w:r>
      <w:r w:rsidR="00BF04B6">
        <w:rPr>
          <w:rFonts w:ascii="mylotus" w:hAnsi="mylotus" w:hint="cs"/>
          <w:sz w:val="34"/>
          <w:szCs w:val="34"/>
          <w:rtl/>
        </w:rPr>
        <w:t xml:space="preserve"> </w:t>
      </w:r>
      <w:r w:rsidRPr="00A6614D">
        <w:rPr>
          <w:rFonts w:ascii="mylotus" w:hAnsi="mylotus"/>
          <w:sz w:val="34"/>
          <w:szCs w:val="34"/>
          <w:rtl/>
        </w:rPr>
        <w:t>يعود للمولى عليه إلى ملك الولي</w:t>
      </w:r>
      <w:r>
        <w:rPr>
          <w:rFonts w:ascii="mylotus" w:hAnsi="mylotus" w:hint="cs"/>
          <w:sz w:val="34"/>
          <w:szCs w:val="34"/>
          <w:rtl/>
        </w:rPr>
        <w:t>.</w:t>
      </w:r>
    </w:p>
    <w:p w14:paraId="500B4E64" w14:textId="61783243" w:rsidR="00A6614D" w:rsidRDefault="00A6614D" w:rsidP="00A80C28">
      <w:pPr>
        <w:pStyle w:val="a0"/>
        <w:bidi/>
        <w:spacing w:line="216" w:lineRule="auto"/>
        <w:rPr>
          <w:rFonts w:ascii="mylotus" w:hAnsi="mylotus"/>
          <w:sz w:val="34"/>
          <w:szCs w:val="34"/>
          <w:rtl/>
        </w:rPr>
      </w:pPr>
      <w:r w:rsidRPr="00A6614D">
        <w:rPr>
          <w:rFonts w:ascii="mylotus" w:hAnsi="mylotus"/>
          <w:sz w:val="34"/>
          <w:szCs w:val="34"/>
          <w:rtl/>
        </w:rPr>
        <w:t>بل لو حصلت إضافة الملكية للولي للزم أن يخرج عن كونه وقفاً أو زكاة، فمثلا</w:t>
      </w:r>
      <w:r>
        <w:rPr>
          <w:rFonts w:ascii="mylotus" w:hAnsi="mylotus" w:hint="cs"/>
          <w:sz w:val="34"/>
          <w:szCs w:val="34"/>
          <w:rtl/>
        </w:rPr>
        <w:t>ً</w:t>
      </w:r>
      <w:r w:rsidRPr="00A6614D">
        <w:rPr>
          <w:rFonts w:ascii="mylotus" w:hAnsi="mylotus"/>
          <w:sz w:val="34"/>
          <w:szCs w:val="34"/>
          <w:rtl/>
        </w:rPr>
        <w:t xml:space="preserve"> لو فرض أن الولي باع إبل الزكاة أو باع نماء الوقف الذي هو مصرف لاقتضاء المصلحة لذلك التصرف، ومقتضى تمامية البيع الذي يقتضي انتقال الإبل الزكوية لملك المشتري هوانتقال بدل المبيع للولي،</w:t>
      </w:r>
      <w:r>
        <w:rPr>
          <w:rFonts w:ascii="mylotus" w:hAnsi="mylotus" w:hint="cs"/>
          <w:sz w:val="34"/>
          <w:szCs w:val="34"/>
          <w:rtl/>
        </w:rPr>
        <w:t xml:space="preserve"> </w:t>
      </w:r>
      <w:r w:rsidRPr="00A6614D">
        <w:rPr>
          <w:rFonts w:ascii="mylotus" w:hAnsi="mylotus"/>
          <w:sz w:val="34"/>
          <w:szCs w:val="34"/>
          <w:rtl/>
        </w:rPr>
        <w:t>حيث لايمكن تملك الزكاة والوقف للثمن لعدم مالكيتهما، وحينئذ هل يكون البدل زكاةً ووقفاً كالأصل أم لا</w:t>
      </w:r>
      <w:r>
        <w:rPr>
          <w:rFonts w:ascii="mylotus" w:hAnsi="mylotus" w:hint="cs"/>
          <w:sz w:val="34"/>
          <w:szCs w:val="34"/>
          <w:rtl/>
        </w:rPr>
        <w:t>؟</w:t>
      </w:r>
      <w:r w:rsidRPr="00A6614D">
        <w:rPr>
          <w:rFonts w:ascii="mylotus" w:hAnsi="mylotus"/>
          <w:sz w:val="34"/>
          <w:szCs w:val="34"/>
          <w:rtl/>
        </w:rPr>
        <w:t xml:space="preserve"> فإنه لو</w:t>
      </w:r>
      <w:r w:rsidR="00622C80">
        <w:rPr>
          <w:rFonts w:ascii="mylotus" w:hAnsi="mylotus" w:hint="cs"/>
          <w:sz w:val="34"/>
          <w:szCs w:val="34"/>
          <w:rtl/>
        </w:rPr>
        <w:t xml:space="preserve"> </w:t>
      </w:r>
      <w:r w:rsidRPr="00A6614D">
        <w:rPr>
          <w:rFonts w:ascii="mylotus" w:hAnsi="mylotus"/>
          <w:sz w:val="34"/>
          <w:szCs w:val="34"/>
          <w:rtl/>
        </w:rPr>
        <w:t>كان</w:t>
      </w:r>
      <w:r w:rsidR="00A80C28">
        <w:rPr>
          <w:rFonts w:ascii="mylotus" w:hAnsi="mylotus"/>
          <w:sz w:val="34"/>
          <w:szCs w:val="34"/>
          <w:rtl/>
        </w:rPr>
        <w:t xml:space="preserve"> </w:t>
      </w:r>
      <w:r w:rsidRPr="00A6614D">
        <w:rPr>
          <w:rFonts w:ascii="mylotus" w:hAnsi="mylotus"/>
          <w:sz w:val="34"/>
          <w:szCs w:val="34"/>
          <w:rtl/>
        </w:rPr>
        <w:t>بدل المبيع مما ينتقل إلى نفس الوقف والزكاة صار وقفاً وزكاةً ولكن إن قبل -</w:t>
      </w:r>
      <w:r>
        <w:rPr>
          <w:rFonts w:ascii="mylotus" w:hAnsi="mylotus" w:hint="cs"/>
          <w:sz w:val="34"/>
          <w:szCs w:val="34"/>
          <w:rtl/>
        </w:rPr>
        <w:t xml:space="preserve"> </w:t>
      </w:r>
      <w:r w:rsidRPr="00A6614D">
        <w:rPr>
          <w:rFonts w:ascii="mylotus" w:hAnsi="mylotus"/>
          <w:sz w:val="34"/>
          <w:szCs w:val="34"/>
          <w:rtl/>
        </w:rPr>
        <w:t>بحسب مبنى سيدنا الخوئي قدس سره</w:t>
      </w:r>
      <w:r>
        <w:rPr>
          <w:rFonts w:ascii="mylotus" w:hAnsi="mylotus" w:hint="cs"/>
          <w:sz w:val="34"/>
          <w:szCs w:val="34"/>
          <w:rtl/>
        </w:rPr>
        <w:t xml:space="preserve"> </w:t>
      </w:r>
      <w:r w:rsidRPr="00A6614D">
        <w:rPr>
          <w:rFonts w:ascii="mylotus" w:hAnsi="mylotus"/>
          <w:sz w:val="34"/>
          <w:szCs w:val="34"/>
          <w:rtl/>
        </w:rPr>
        <w:t>- بأن البدل ينتقل لملك الولي، فلازم انتقاله إلى ملك الولي خروجه عن كونه زكاةً ووقفاً، وهذا مما لا يمكن الالتزام به من قبل أحد</w:t>
      </w:r>
      <w:r>
        <w:rPr>
          <w:rFonts w:ascii="mylotus" w:hAnsi="mylotus" w:hint="cs"/>
          <w:sz w:val="34"/>
          <w:szCs w:val="34"/>
          <w:rtl/>
        </w:rPr>
        <w:t>.</w:t>
      </w:r>
    </w:p>
    <w:p w14:paraId="604B220E" w14:textId="04551D3D" w:rsidR="00A6614D" w:rsidRDefault="00A6614D" w:rsidP="00A80C28">
      <w:pPr>
        <w:pStyle w:val="a0"/>
        <w:bidi/>
        <w:spacing w:line="216" w:lineRule="auto"/>
        <w:rPr>
          <w:rFonts w:ascii="mylotus" w:hAnsi="mylotus"/>
          <w:b/>
          <w:bCs/>
          <w:sz w:val="34"/>
          <w:szCs w:val="34"/>
          <w:rtl/>
        </w:rPr>
      </w:pPr>
      <w:r w:rsidRPr="00A6614D">
        <w:rPr>
          <w:rFonts w:ascii="mylotus" w:hAnsi="mylotus"/>
          <w:b/>
          <w:bCs/>
          <w:sz w:val="34"/>
          <w:szCs w:val="34"/>
          <w:rtl/>
        </w:rPr>
        <w:lastRenderedPageBreak/>
        <w:t>وببيان أوضح:</w:t>
      </w:r>
      <w:r w:rsidRPr="00A6614D">
        <w:rPr>
          <w:rFonts w:ascii="mylotus" w:hAnsi="mylotus"/>
          <w:sz w:val="34"/>
          <w:szCs w:val="34"/>
          <w:rtl/>
        </w:rPr>
        <w:t xml:space="preserve"> إن المفروض أن المبيع كان إبل الزكاة - أي كان زكاة - أو نماء الوقف الذي هو على نحو المصرفية، فإذا كان المبدل زكاةً ووقفاً إلا أن البدل حيث إنه وارد على نحو التمليك، والزكاة والوقف لا يقبل التمليك، فمن أجل التخلص من محذور عدم قابلية الزكاة والوقف للتمليك سوف ينتقل بدل المبيع لملك الولي، فإذا دخل في ملك الولي - ولو بما هو ولي - خرج عن كونه زكاةً ووقفاً، بل للولي أن يصرفه في مصالحه بما هو ولي، فإن الولي كما له مصالح بما هو شخص فله مصالح بما هو ولي، كأن تقتضي ولايته أن تكون له سيارة أو يكون له بيت، حيث يسوغ له</w:t>
      </w:r>
      <w:r w:rsidR="00A80C28">
        <w:rPr>
          <w:rFonts w:ascii="mylotus" w:hAnsi="mylotus"/>
          <w:sz w:val="34"/>
          <w:szCs w:val="34"/>
          <w:rtl/>
        </w:rPr>
        <w:t xml:space="preserve"> </w:t>
      </w:r>
      <w:r w:rsidRPr="00A6614D">
        <w:rPr>
          <w:rFonts w:ascii="mylotus" w:hAnsi="mylotus"/>
          <w:sz w:val="34"/>
          <w:szCs w:val="34"/>
          <w:rtl/>
        </w:rPr>
        <w:t>في ما يدخل في ملكه بما هو ولي أن يصرفه في مصالح الولاية لا في مصالح المولّى عليه وهوالزكاة والوقف، بل يصح إعطاؤه للهاشمي لعدم كونه زكاة وهذا مما لا يمكن الالتزام به</w:t>
      </w:r>
      <w:r w:rsidRPr="00A6614D">
        <w:rPr>
          <w:rFonts w:ascii="mylotus" w:hAnsi="mylotus"/>
          <w:sz w:val="34"/>
          <w:szCs w:val="34"/>
        </w:rPr>
        <w:t>.</w:t>
      </w:r>
    </w:p>
    <w:p w14:paraId="4B39A739" w14:textId="4544973A" w:rsidR="00A6614D" w:rsidRDefault="00A6614D" w:rsidP="00A80C28">
      <w:pPr>
        <w:pStyle w:val="a0"/>
        <w:bidi/>
        <w:spacing w:line="216" w:lineRule="auto"/>
        <w:rPr>
          <w:rFonts w:ascii="mylotus" w:hAnsi="mylotus"/>
          <w:sz w:val="34"/>
          <w:szCs w:val="34"/>
          <w:rtl/>
        </w:rPr>
      </w:pPr>
      <w:r w:rsidRPr="00A6614D">
        <w:rPr>
          <w:rFonts w:ascii="mylotus" w:hAnsi="mylotus"/>
          <w:sz w:val="34"/>
          <w:szCs w:val="34"/>
          <w:rtl/>
        </w:rPr>
        <w:t>فهذا منبه في نفسه على أن</w:t>
      </w:r>
      <w:r w:rsidR="00A80C28">
        <w:rPr>
          <w:rFonts w:ascii="mylotus" w:hAnsi="mylotus"/>
          <w:sz w:val="34"/>
          <w:szCs w:val="34"/>
          <w:rtl/>
        </w:rPr>
        <w:t xml:space="preserve"> </w:t>
      </w:r>
      <w:r w:rsidRPr="00A6614D">
        <w:rPr>
          <w:rFonts w:ascii="mylotus" w:hAnsi="mylotus"/>
          <w:sz w:val="34"/>
          <w:szCs w:val="34"/>
          <w:rtl/>
        </w:rPr>
        <w:t>الطريقة التي اتخذها سيدنا الخوئي قدس سره - من أن طرف</w:t>
      </w:r>
      <w:r w:rsidR="00A80C28">
        <w:rPr>
          <w:rFonts w:ascii="mylotus" w:hAnsi="mylotus"/>
          <w:sz w:val="34"/>
          <w:szCs w:val="34"/>
          <w:rtl/>
        </w:rPr>
        <w:t xml:space="preserve"> </w:t>
      </w:r>
      <w:r w:rsidRPr="00A6614D">
        <w:rPr>
          <w:rFonts w:ascii="mylotus" w:hAnsi="mylotus"/>
          <w:sz w:val="34"/>
          <w:szCs w:val="34"/>
          <w:rtl/>
        </w:rPr>
        <w:t>المعاملات الجارية من قبل الولي على الزكاة والوقف هو الولي لا المولّى عليه - غير تامة، إذ يترتب عليها لوازم فقهية لا يلتزم بها أحد</w:t>
      </w:r>
      <w:r>
        <w:rPr>
          <w:rFonts w:ascii="mylotus" w:hAnsi="mylotus" w:hint="cs"/>
          <w:sz w:val="34"/>
          <w:szCs w:val="34"/>
          <w:rtl/>
        </w:rPr>
        <w:t>.</w:t>
      </w:r>
    </w:p>
    <w:p w14:paraId="032E1F21" w14:textId="77777777" w:rsidR="00622C80" w:rsidRDefault="00A6614D" w:rsidP="00622C80">
      <w:pPr>
        <w:pStyle w:val="a0"/>
        <w:bidi/>
        <w:spacing w:line="216" w:lineRule="auto"/>
        <w:rPr>
          <w:rFonts w:ascii="mylotus" w:hAnsi="mylotus"/>
          <w:sz w:val="34"/>
          <w:szCs w:val="34"/>
          <w:rtl/>
        </w:rPr>
      </w:pPr>
      <w:r w:rsidRPr="00A6614D">
        <w:rPr>
          <w:rFonts w:ascii="mylotus" w:hAnsi="mylotus"/>
          <w:sz w:val="34"/>
          <w:szCs w:val="34"/>
          <w:rtl/>
        </w:rPr>
        <w:t>هذا تمام الكلام في الملاحظتين اللتين أوردا على مدعى سيدنا الخوئي قدس سره</w:t>
      </w:r>
      <w:r>
        <w:rPr>
          <w:rFonts w:ascii="mylotus" w:hAnsi="mylotus" w:hint="cs"/>
          <w:sz w:val="34"/>
          <w:szCs w:val="34"/>
          <w:rtl/>
        </w:rPr>
        <w:t xml:space="preserve"> الشريف</w:t>
      </w:r>
      <w:r w:rsidR="00622C80">
        <w:rPr>
          <w:rFonts w:ascii="mylotus" w:hAnsi="mylotus" w:hint="cs"/>
          <w:sz w:val="34"/>
          <w:szCs w:val="34"/>
          <w:rtl/>
        </w:rPr>
        <w:t>.</w:t>
      </w:r>
    </w:p>
    <w:p w14:paraId="236E710F" w14:textId="1B6CEFA9" w:rsidR="00A6614D" w:rsidRPr="00622C80" w:rsidRDefault="00A6614D" w:rsidP="00622C80">
      <w:pPr>
        <w:pStyle w:val="a0"/>
        <w:bidi/>
        <w:spacing w:line="216" w:lineRule="auto"/>
        <w:rPr>
          <w:rFonts w:ascii="mylotus" w:hAnsi="mylotus"/>
          <w:b/>
          <w:bCs/>
          <w:sz w:val="34"/>
          <w:szCs w:val="34"/>
          <w:rtl/>
        </w:rPr>
      </w:pPr>
      <w:r w:rsidRPr="00622C80">
        <w:rPr>
          <w:rFonts w:ascii="mylotus" w:hAnsi="mylotus"/>
          <w:b/>
          <w:bCs/>
          <w:sz w:val="34"/>
          <w:szCs w:val="34"/>
          <w:rtl/>
        </w:rPr>
        <w:t>ولكن ينبغي الإشارة إلى أمرين</w:t>
      </w:r>
      <w:r w:rsidRPr="00622C80">
        <w:rPr>
          <w:rFonts w:ascii="mylotus" w:hAnsi="mylotus"/>
          <w:b/>
          <w:bCs/>
          <w:sz w:val="34"/>
          <w:szCs w:val="34"/>
        </w:rPr>
        <w:t>:</w:t>
      </w:r>
    </w:p>
    <w:p w14:paraId="4A393759" w14:textId="09231DCC" w:rsidR="00A6614D" w:rsidRDefault="00A6614D" w:rsidP="00A80C28">
      <w:pPr>
        <w:pStyle w:val="a0"/>
        <w:bidi/>
        <w:spacing w:line="216" w:lineRule="auto"/>
        <w:rPr>
          <w:rFonts w:ascii="mylotus" w:hAnsi="mylotus"/>
          <w:b/>
          <w:bCs/>
          <w:sz w:val="34"/>
          <w:szCs w:val="34"/>
          <w:rtl/>
        </w:rPr>
      </w:pPr>
      <w:r w:rsidRPr="00A6614D">
        <w:rPr>
          <w:rFonts w:ascii="mylotus" w:hAnsi="mylotus"/>
          <w:b/>
          <w:bCs/>
          <w:sz w:val="34"/>
          <w:szCs w:val="34"/>
          <w:rtl/>
        </w:rPr>
        <w:t>الأمر الأول:</w:t>
      </w:r>
      <w:r w:rsidRPr="00A6614D">
        <w:rPr>
          <w:rFonts w:ascii="mylotus" w:hAnsi="mylotus"/>
          <w:sz w:val="34"/>
          <w:szCs w:val="34"/>
          <w:rtl/>
        </w:rPr>
        <w:t xml:space="preserve"> أن كلتا الملاحظتين لم يجيبا عن النقض بالإقراض، حيث يقال: إن الوقف على تعزية سيد الشهداء عليه السلام وقف</w:t>
      </w:r>
      <w:r>
        <w:rPr>
          <w:rFonts w:ascii="mylotus" w:hAnsi="mylotus" w:hint="cs"/>
          <w:sz w:val="34"/>
          <w:szCs w:val="34"/>
          <w:rtl/>
        </w:rPr>
        <w:t>ٌ</w:t>
      </w:r>
      <w:r w:rsidRPr="00A6614D">
        <w:rPr>
          <w:rFonts w:ascii="mylotus" w:hAnsi="mylotus"/>
          <w:sz w:val="34"/>
          <w:szCs w:val="34"/>
          <w:rtl/>
        </w:rPr>
        <w:t xml:space="preserve"> لا على سبيل الملك بل على سبيل المصرفية، لكنه على نسق الوقف على سبيل الملك من حيث الأحكام</w:t>
      </w:r>
      <w:r w:rsidR="00A80C28">
        <w:rPr>
          <w:rFonts w:ascii="mylotus" w:hAnsi="mylotus"/>
          <w:sz w:val="34"/>
          <w:szCs w:val="34"/>
          <w:rtl/>
        </w:rPr>
        <w:t>،</w:t>
      </w:r>
      <w:r w:rsidRPr="00A6614D">
        <w:rPr>
          <w:rFonts w:ascii="mylotus" w:hAnsi="mylotus"/>
          <w:sz w:val="34"/>
          <w:szCs w:val="34"/>
          <w:rtl/>
        </w:rPr>
        <w:t xml:space="preserve"> وبالتالي فلولي الوقف أن يقترض للوقف لو اقتضت مصلحة الوقف ذلك كما في الوقف على نحو الملك،</w:t>
      </w:r>
      <w:r>
        <w:rPr>
          <w:rFonts w:ascii="mylotus" w:hAnsi="mylotus" w:hint="cs"/>
          <w:sz w:val="34"/>
          <w:szCs w:val="34"/>
          <w:rtl/>
        </w:rPr>
        <w:t xml:space="preserve"> </w:t>
      </w:r>
      <w:r w:rsidRPr="00A6614D">
        <w:rPr>
          <w:rFonts w:ascii="mylotus" w:hAnsi="mylotus"/>
          <w:sz w:val="34"/>
          <w:szCs w:val="34"/>
          <w:rtl/>
        </w:rPr>
        <w:t>والفقهاء وإن اختلفوا في حقيقة الإجارة والبيع فقال البعض</w:t>
      </w:r>
      <w:r>
        <w:rPr>
          <w:rFonts w:ascii="mylotus" w:hAnsi="mylotus" w:hint="cs"/>
          <w:sz w:val="34"/>
          <w:szCs w:val="34"/>
          <w:rtl/>
        </w:rPr>
        <w:t xml:space="preserve"> </w:t>
      </w:r>
      <w:r w:rsidRPr="00A6614D">
        <w:rPr>
          <w:rFonts w:ascii="mylotus" w:hAnsi="mylotus"/>
          <w:sz w:val="34"/>
          <w:szCs w:val="34"/>
          <w:rtl/>
        </w:rPr>
        <w:t>منهم:</w:t>
      </w:r>
      <w:r>
        <w:rPr>
          <w:rFonts w:ascii="mylotus" w:hAnsi="mylotus" w:hint="cs"/>
          <w:sz w:val="34"/>
          <w:szCs w:val="34"/>
          <w:rtl/>
        </w:rPr>
        <w:t xml:space="preserve"> </w:t>
      </w:r>
      <w:r w:rsidRPr="00A6614D">
        <w:rPr>
          <w:rFonts w:ascii="mylotus" w:hAnsi="mylotus"/>
          <w:sz w:val="34"/>
          <w:szCs w:val="34"/>
          <w:rtl/>
        </w:rPr>
        <w:t>إن البيع والإجارة ليس تمليكاً للعين ولا</w:t>
      </w:r>
      <w:r>
        <w:rPr>
          <w:rFonts w:ascii="mylotus" w:hAnsi="mylotus" w:hint="cs"/>
          <w:sz w:val="34"/>
          <w:szCs w:val="34"/>
          <w:rtl/>
        </w:rPr>
        <w:t xml:space="preserve"> </w:t>
      </w:r>
      <w:r w:rsidRPr="00A6614D">
        <w:rPr>
          <w:rFonts w:ascii="mylotus" w:hAnsi="mylotus"/>
          <w:sz w:val="34"/>
          <w:szCs w:val="34"/>
          <w:rtl/>
        </w:rPr>
        <w:t>للمنفعة بل هو</w:t>
      </w:r>
      <w:r w:rsidR="00A80C28">
        <w:rPr>
          <w:rFonts w:ascii="mylotus" w:hAnsi="mylotus"/>
          <w:sz w:val="34"/>
          <w:szCs w:val="34"/>
          <w:rtl/>
        </w:rPr>
        <w:t xml:space="preserve"> </w:t>
      </w:r>
      <w:r w:rsidRPr="00A6614D">
        <w:rPr>
          <w:rFonts w:ascii="mylotus" w:hAnsi="mylotus"/>
          <w:sz w:val="34"/>
          <w:szCs w:val="34"/>
          <w:rtl/>
        </w:rPr>
        <w:t xml:space="preserve">تبديل لهما في جهة الإضافة، بمعنى أن العين أو المنفعة انتقلت بالبيع والإجارة من جهة الملك </w:t>
      </w:r>
      <w:r>
        <w:rPr>
          <w:rFonts w:ascii="mylotus" w:hAnsi="mylotus" w:hint="cs"/>
          <w:sz w:val="34"/>
          <w:szCs w:val="34"/>
          <w:rtl/>
        </w:rPr>
        <w:t>إ</w:t>
      </w:r>
      <w:r w:rsidRPr="00A6614D">
        <w:rPr>
          <w:rFonts w:ascii="mylotus" w:hAnsi="mylotus"/>
          <w:sz w:val="34"/>
          <w:szCs w:val="34"/>
          <w:rtl/>
        </w:rPr>
        <w:t>لى جهة الحق أو ال</w:t>
      </w:r>
      <w:r>
        <w:rPr>
          <w:rFonts w:ascii="mylotus" w:hAnsi="mylotus" w:hint="cs"/>
          <w:sz w:val="34"/>
          <w:szCs w:val="34"/>
          <w:rtl/>
        </w:rPr>
        <w:t>ا</w:t>
      </w:r>
      <w:r w:rsidRPr="00A6614D">
        <w:rPr>
          <w:rFonts w:ascii="mylotus" w:hAnsi="mylotus"/>
          <w:sz w:val="34"/>
          <w:szCs w:val="34"/>
          <w:rtl/>
        </w:rPr>
        <w:t>ختصاص على سبيل المصرفية لكن لا خلاف عندهم</w:t>
      </w:r>
      <w:r w:rsidR="00A80C28">
        <w:rPr>
          <w:rFonts w:ascii="mylotus" w:hAnsi="mylotus"/>
          <w:sz w:val="34"/>
          <w:szCs w:val="34"/>
          <w:rtl/>
        </w:rPr>
        <w:t xml:space="preserve"> </w:t>
      </w:r>
      <w:r w:rsidRPr="00A6614D">
        <w:rPr>
          <w:rFonts w:ascii="mylotus" w:hAnsi="mylotus"/>
          <w:sz w:val="34"/>
          <w:szCs w:val="34"/>
          <w:rtl/>
        </w:rPr>
        <w:t>في حقيقة الإقراض، وهي أن الإقراض تمليك شخص المال بالضمان، فلو أراد ولي الوقف أن يقترض للوقف والإقراض تمليك بالضمان، فما هو الطرف المقترض على نحو التملك</w:t>
      </w:r>
      <w:r>
        <w:rPr>
          <w:rFonts w:ascii="mylotus" w:hAnsi="mylotus" w:hint="cs"/>
          <w:sz w:val="34"/>
          <w:szCs w:val="34"/>
          <w:rtl/>
        </w:rPr>
        <w:t xml:space="preserve">؟ </w:t>
      </w:r>
      <w:r w:rsidRPr="00A6614D">
        <w:rPr>
          <w:rFonts w:ascii="mylotus" w:hAnsi="mylotus"/>
          <w:sz w:val="34"/>
          <w:szCs w:val="34"/>
          <w:rtl/>
        </w:rPr>
        <w:t>إذ لا يمكن أن يكون نفس الوقف هو لعدم قابليته للملك، فيتعين لا محالة أن يكون طرف الاقتراض هو الولي</w:t>
      </w:r>
      <w:r w:rsidRPr="00A6614D">
        <w:rPr>
          <w:rFonts w:ascii="mylotus" w:hAnsi="mylotus"/>
          <w:sz w:val="34"/>
          <w:szCs w:val="34"/>
        </w:rPr>
        <w:t>.</w:t>
      </w:r>
    </w:p>
    <w:p w14:paraId="463FDAA0" w14:textId="5BE21854" w:rsidR="00185896" w:rsidRDefault="00A6614D" w:rsidP="00A80C28">
      <w:pPr>
        <w:pStyle w:val="a0"/>
        <w:bidi/>
        <w:spacing w:line="216" w:lineRule="auto"/>
        <w:rPr>
          <w:rFonts w:ascii="mylotus" w:hAnsi="mylotus"/>
          <w:b/>
          <w:bCs/>
          <w:sz w:val="34"/>
          <w:szCs w:val="34"/>
          <w:rtl/>
        </w:rPr>
      </w:pPr>
      <w:r w:rsidRPr="00A6614D">
        <w:rPr>
          <w:rFonts w:ascii="mylotus" w:hAnsi="mylotus"/>
          <w:sz w:val="34"/>
          <w:szCs w:val="34"/>
          <w:rtl/>
        </w:rPr>
        <w:t>مما يعني أن النقض بالقرض ما زال النقض باقياً، إلا أن يلتزم بأن جهة المصرفية مالكة، إذ لا</w:t>
      </w:r>
      <w:r w:rsidR="00185896">
        <w:rPr>
          <w:rFonts w:ascii="mylotus" w:hAnsi="mylotus" w:hint="cs"/>
          <w:sz w:val="34"/>
          <w:szCs w:val="34"/>
          <w:rtl/>
        </w:rPr>
        <w:t xml:space="preserve"> </w:t>
      </w:r>
      <w:r w:rsidRPr="00A6614D">
        <w:rPr>
          <w:rFonts w:ascii="mylotus" w:hAnsi="mylotus"/>
          <w:sz w:val="34"/>
          <w:szCs w:val="34"/>
          <w:rtl/>
        </w:rPr>
        <w:t xml:space="preserve">معنى للملك </w:t>
      </w:r>
      <w:r w:rsidR="00185896">
        <w:rPr>
          <w:rFonts w:ascii="mylotus" w:hAnsi="mylotus" w:hint="cs"/>
          <w:sz w:val="34"/>
          <w:szCs w:val="34"/>
          <w:rtl/>
        </w:rPr>
        <w:t>إ</w:t>
      </w:r>
      <w:r w:rsidRPr="00A6614D">
        <w:rPr>
          <w:rFonts w:ascii="mylotus" w:hAnsi="mylotus"/>
          <w:sz w:val="34"/>
          <w:szCs w:val="34"/>
          <w:rtl/>
        </w:rPr>
        <w:t>لا نحو اختصاص مسوغ لسائر التصرفات من ال</w:t>
      </w:r>
      <w:r w:rsidR="00185896">
        <w:rPr>
          <w:rFonts w:ascii="mylotus" w:hAnsi="mylotus" w:hint="cs"/>
          <w:sz w:val="34"/>
          <w:szCs w:val="34"/>
          <w:rtl/>
        </w:rPr>
        <w:t>ا</w:t>
      </w:r>
      <w:r w:rsidRPr="00A6614D">
        <w:rPr>
          <w:rFonts w:ascii="mylotus" w:hAnsi="mylotus"/>
          <w:sz w:val="34"/>
          <w:szCs w:val="34"/>
          <w:rtl/>
        </w:rPr>
        <w:t xml:space="preserve">ستيفاء والنقل، وهو متحقق بمقولة </w:t>
      </w:r>
      <w:r w:rsidRPr="00A6614D">
        <w:rPr>
          <w:rFonts w:ascii="mylotus" w:hAnsi="mylotus"/>
          <w:sz w:val="34"/>
          <w:szCs w:val="34"/>
          <w:rtl/>
        </w:rPr>
        <w:lastRenderedPageBreak/>
        <w:t>المصرفية، أو يلتزم</w:t>
      </w:r>
      <w:r w:rsidR="00A80C28">
        <w:rPr>
          <w:rFonts w:ascii="mylotus" w:hAnsi="mylotus"/>
          <w:sz w:val="34"/>
          <w:szCs w:val="34"/>
          <w:rtl/>
        </w:rPr>
        <w:t xml:space="preserve"> </w:t>
      </w:r>
      <w:r w:rsidRPr="00A6614D">
        <w:rPr>
          <w:rFonts w:ascii="mylotus" w:hAnsi="mylotus"/>
          <w:sz w:val="34"/>
          <w:szCs w:val="34"/>
          <w:rtl/>
        </w:rPr>
        <w:t>بأنه في الوقف والزكاة التي لا تقبل التمليك ليس للولي صلاحية الاقتراض للوقف والزكاة، باعتبار توقف الاقتراض على التمليك ولا مالك</w:t>
      </w:r>
      <w:r w:rsidR="00185896">
        <w:rPr>
          <w:rFonts w:ascii="mylotus" w:hAnsi="mylotus" w:hint="cs"/>
          <w:sz w:val="34"/>
          <w:szCs w:val="34"/>
          <w:rtl/>
        </w:rPr>
        <w:t>،</w:t>
      </w:r>
      <w:r w:rsidRPr="00A6614D">
        <w:rPr>
          <w:rFonts w:ascii="mylotus" w:hAnsi="mylotus"/>
          <w:sz w:val="34"/>
          <w:szCs w:val="34"/>
          <w:rtl/>
        </w:rPr>
        <w:t xml:space="preserve"> وأما مع الالتزام - كما هو المعروف فقهياً - بأن للولي أن يستأجر أو يبيع أو يشتري أو يقترض إذا اقتضته مصلحة الوقف أو الزكاة فإن محذور النقض بالاقتراض محذور وارد لا مناص منه.</w:t>
      </w:r>
    </w:p>
    <w:p w14:paraId="097ABC47" w14:textId="77777777" w:rsidR="00185896" w:rsidRDefault="00A6614D" w:rsidP="00A80C28">
      <w:pPr>
        <w:pStyle w:val="a0"/>
        <w:bidi/>
        <w:spacing w:line="216" w:lineRule="auto"/>
        <w:rPr>
          <w:rFonts w:ascii="mylotus" w:hAnsi="mylotus"/>
          <w:b/>
          <w:bCs/>
          <w:sz w:val="34"/>
          <w:szCs w:val="34"/>
          <w:rtl/>
        </w:rPr>
      </w:pPr>
      <w:r w:rsidRPr="00185896">
        <w:rPr>
          <w:rFonts w:ascii="mylotus" w:hAnsi="mylotus"/>
          <w:b/>
          <w:bCs/>
          <w:sz w:val="34"/>
          <w:szCs w:val="34"/>
          <w:rtl/>
        </w:rPr>
        <w:t>الأمر الثاني:</w:t>
      </w:r>
      <w:r w:rsidRPr="00A6614D">
        <w:rPr>
          <w:rFonts w:ascii="mylotus" w:hAnsi="mylotus"/>
          <w:sz w:val="34"/>
          <w:szCs w:val="34"/>
          <w:rtl/>
        </w:rPr>
        <w:t xml:space="preserve"> للسيد الخوئي قدس سره </w:t>
      </w:r>
      <w:r w:rsidR="00185896">
        <w:rPr>
          <w:rFonts w:ascii="mylotus" w:hAnsi="mylotus" w:hint="cs"/>
          <w:sz w:val="34"/>
          <w:szCs w:val="34"/>
          <w:rtl/>
        </w:rPr>
        <w:t xml:space="preserve">الشريف </w:t>
      </w:r>
      <w:r w:rsidRPr="00A6614D">
        <w:rPr>
          <w:rFonts w:ascii="mylotus" w:hAnsi="mylotus"/>
          <w:sz w:val="34"/>
          <w:szCs w:val="34"/>
          <w:rtl/>
        </w:rPr>
        <w:t>أن يواجه كلتا الملاحظتين بالمصادرة، حيث إن حاصل الملاحظة الأولى أن الولاية تقتضي أن يكون طرف المعاملة هو المولّى عليه لا الولي لكون الولاية من قبيل النيابة، وحاصل الملاحظة الثانية أن الولاية ما هي إلا نفوذ التصرف في مال المولى عليه في إطار المصلحة، فلا اقتضاء فيها لكون الولي مالكاً، لا بشخصه ولا بما هو ولي</w:t>
      </w:r>
      <w:r w:rsidRPr="00A6614D">
        <w:rPr>
          <w:rFonts w:ascii="mylotus" w:hAnsi="mylotus"/>
          <w:sz w:val="34"/>
          <w:szCs w:val="34"/>
        </w:rPr>
        <w:t>.</w:t>
      </w:r>
    </w:p>
    <w:p w14:paraId="1FEF906E" w14:textId="36E686AC" w:rsidR="00185896" w:rsidRDefault="00A6614D" w:rsidP="00A80C28">
      <w:pPr>
        <w:pStyle w:val="a0"/>
        <w:bidi/>
        <w:spacing w:line="216" w:lineRule="auto"/>
        <w:rPr>
          <w:rFonts w:ascii="mylotus" w:hAnsi="mylotus"/>
          <w:b/>
          <w:bCs/>
          <w:sz w:val="34"/>
          <w:szCs w:val="34"/>
          <w:rtl/>
        </w:rPr>
      </w:pPr>
      <w:r w:rsidRPr="00A6614D">
        <w:rPr>
          <w:rFonts w:ascii="mylotus" w:hAnsi="mylotus"/>
          <w:sz w:val="34"/>
          <w:szCs w:val="34"/>
          <w:rtl/>
        </w:rPr>
        <w:t xml:space="preserve">وبإمكان سيدنا الخوئي قدس سره </w:t>
      </w:r>
      <w:r w:rsidR="00185896">
        <w:rPr>
          <w:rFonts w:ascii="mylotus" w:hAnsi="mylotus" w:hint="cs"/>
          <w:sz w:val="34"/>
          <w:szCs w:val="34"/>
          <w:rtl/>
        </w:rPr>
        <w:t xml:space="preserve">الشريف </w:t>
      </w:r>
      <w:r w:rsidRPr="00A6614D">
        <w:rPr>
          <w:rFonts w:ascii="mylotus" w:hAnsi="mylotus"/>
          <w:sz w:val="34"/>
          <w:szCs w:val="34"/>
          <w:rtl/>
        </w:rPr>
        <w:t>المصادرة على كلتا الملاحظتين بأن يقول: إن مقتضى القواعد صحة إجراء المعاملة من قبل الولي عن نفسه، فإن مقتضى كونه ولياً أن يجعل نفسه طرف المعاملة إذا اقتضت المصلحة ذلك، إذ بعد فرض كونه ولياً على الوقف أو الزكاة وأن ولايته تدور مدار المصلحة لهما</w:t>
      </w:r>
      <w:r w:rsidR="00A80C28">
        <w:rPr>
          <w:rFonts w:ascii="mylotus" w:hAnsi="mylotus"/>
          <w:sz w:val="34"/>
          <w:szCs w:val="34"/>
          <w:rtl/>
        </w:rPr>
        <w:t xml:space="preserve"> </w:t>
      </w:r>
      <w:r w:rsidRPr="00A6614D">
        <w:rPr>
          <w:rFonts w:ascii="mylotus" w:hAnsi="mylotus"/>
          <w:sz w:val="34"/>
          <w:szCs w:val="34"/>
          <w:rtl/>
        </w:rPr>
        <w:t>فلو توقفت المصلحة على ذلك فمقتضى ولايته أن يجعل نفسه طرف المعاملة، فيدخل المال في ملكه لا بما هو شخص بل بما هو ولي، كما أنه إذا اقتضت مصلحة المولّى عليه أن يتملك الولي المال على جهة الولاية ثم يصيّره مصرفاً لجهة المولى عليه فله ذلك</w:t>
      </w:r>
      <w:r w:rsidRPr="00A6614D">
        <w:rPr>
          <w:rFonts w:ascii="mylotus" w:hAnsi="mylotus"/>
          <w:sz w:val="34"/>
          <w:szCs w:val="34"/>
        </w:rPr>
        <w:t>.</w:t>
      </w:r>
    </w:p>
    <w:p w14:paraId="76EA1E9B" w14:textId="77777777" w:rsidR="00185896" w:rsidRDefault="00A6614D" w:rsidP="00A80C28">
      <w:pPr>
        <w:pStyle w:val="a0"/>
        <w:bidi/>
        <w:spacing w:line="216" w:lineRule="auto"/>
        <w:rPr>
          <w:rFonts w:ascii="mylotus" w:hAnsi="mylotus"/>
          <w:b/>
          <w:bCs/>
          <w:sz w:val="34"/>
          <w:szCs w:val="34"/>
          <w:rtl/>
        </w:rPr>
      </w:pPr>
      <w:r w:rsidRPr="00185896">
        <w:rPr>
          <w:rFonts w:ascii="mylotus" w:hAnsi="mylotus"/>
          <w:b/>
          <w:bCs/>
          <w:sz w:val="34"/>
          <w:szCs w:val="34"/>
          <w:rtl/>
        </w:rPr>
        <w:t>فإن قلت</w:t>
      </w:r>
      <w:r w:rsidR="00185896" w:rsidRPr="00185896">
        <w:rPr>
          <w:rFonts w:ascii="mylotus" w:hAnsi="mylotus" w:hint="cs"/>
          <w:b/>
          <w:bCs/>
          <w:sz w:val="34"/>
          <w:szCs w:val="34"/>
          <w:rtl/>
        </w:rPr>
        <w:t>َ</w:t>
      </w:r>
      <w:r w:rsidRPr="00185896">
        <w:rPr>
          <w:rFonts w:ascii="mylotus" w:hAnsi="mylotus"/>
          <w:b/>
          <w:bCs/>
          <w:sz w:val="34"/>
          <w:szCs w:val="34"/>
          <w:rtl/>
        </w:rPr>
        <w:t>:</w:t>
      </w:r>
      <w:r w:rsidRPr="00A6614D">
        <w:rPr>
          <w:rFonts w:ascii="mylotus" w:hAnsi="mylotus"/>
          <w:sz w:val="34"/>
          <w:szCs w:val="34"/>
          <w:rtl/>
        </w:rPr>
        <w:t xml:space="preserve"> إن لازم ذلك خروج ما يدخل في ملكه ولو بما هو ولي عن كونه زكاةً أو وقفاً، كمافي النقض الذي أورده بعض الأعلام عليه</w:t>
      </w:r>
      <w:r w:rsidRPr="00A6614D">
        <w:rPr>
          <w:rFonts w:ascii="mylotus" w:hAnsi="mylotus"/>
          <w:sz w:val="34"/>
          <w:szCs w:val="34"/>
        </w:rPr>
        <w:t>.</w:t>
      </w:r>
    </w:p>
    <w:p w14:paraId="48F97F63" w14:textId="06147C3F" w:rsidR="00185896" w:rsidRDefault="00A6614D" w:rsidP="00A80C28">
      <w:pPr>
        <w:pStyle w:val="a0"/>
        <w:bidi/>
        <w:spacing w:line="216" w:lineRule="auto"/>
        <w:rPr>
          <w:rFonts w:ascii="mylotus" w:hAnsi="mylotus"/>
          <w:sz w:val="34"/>
          <w:szCs w:val="34"/>
          <w:rtl/>
        </w:rPr>
      </w:pPr>
      <w:r w:rsidRPr="00185896">
        <w:rPr>
          <w:rFonts w:ascii="mylotus" w:hAnsi="mylotus"/>
          <w:b/>
          <w:bCs/>
          <w:sz w:val="34"/>
          <w:szCs w:val="34"/>
          <w:rtl/>
        </w:rPr>
        <w:t>قلت</w:t>
      </w:r>
      <w:r w:rsidR="00185896">
        <w:rPr>
          <w:rFonts w:ascii="mylotus" w:hAnsi="mylotus" w:hint="cs"/>
          <w:b/>
          <w:bCs/>
          <w:sz w:val="34"/>
          <w:szCs w:val="34"/>
          <w:rtl/>
        </w:rPr>
        <w:t>ُ</w:t>
      </w:r>
      <w:r w:rsidRPr="00185896">
        <w:rPr>
          <w:rFonts w:ascii="mylotus" w:hAnsi="mylotus"/>
          <w:b/>
          <w:bCs/>
          <w:sz w:val="34"/>
          <w:szCs w:val="34"/>
          <w:rtl/>
        </w:rPr>
        <w:t>:</w:t>
      </w:r>
      <w:r w:rsidRPr="00A6614D">
        <w:rPr>
          <w:rFonts w:ascii="mylotus" w:hAnsi="mylotus"/>
          <w:sz w:val="34"/>
          <w:szCs w:val="34"/>
          <w:rtl/>
        </w:rPr>
        <w:t xml:space="preserve"> حيث إن مقتضى مصلحة المول</w:t>
      </w:r>
      <w:r w:rsidR="00185896">
        <w:rPr>
          <w:rFonts w:ascii="mylotus" w:hAnsi="mylotus" w:hint="cs"/>
          <w:sz w:val="34"/>
          <w:szCs w:val="34"/>
          <w:rtl/>
        </w:rPr>
        <w:t>ّ</w:t>
      </w:r>
      <w:r w:rsidRPr="00A6614D">
        <w:rPr>
          <w:rFonts w:ascii="mylotus" w:hAnsi="mylotus"/>
          <w:sz w:val="34"/>
          <w:szCs w:val="34"/>
          <w:rtl/>
        </w:rPr>
        <w:t xml:space="preserve">ى عليه عود البدل لمصرف الزكاة والوقف فله أن يتوصل لذلك ضمن المعاملة بنحو شرط النتيجة، مثلاً أن يتفق الولي مع البائع الذي يريد أن </w:t>
      </w:r>
      <w:r w:rsidR="00A80C28">
        <w:rPr>
          <w:rFonts w:ascii="mylotus" w:hAnsi="mylotus"/>
          <w:sz w:val="34"/>
          <w:szCs w:val="34"/>
          <w:rtl/>
        </w:rPr>
        <w:t>يبيعه العين لأجل الزكاة أو</w:t>
      </w:r>
      <w:r w:rsidR="00A80C28">
        <w:rPr>
          <w:rFonts w:ascii="mylotus" w:hAnsi="mylotus" w:hint="cs"/>
          <w:sz w:val="34"/>
          <w:szCs w:val="34"/>
          <w:rtl/>
        </w:rPr>
        <w:t xml:space="preserve"> </w:t>
      </w:r>
      <w:r w:rsidR="00A80C28">
        <w:rPr>
          <w:rFonts w:ascii="mylotus" w:hAnsi="mylotus"/>
          <w:sz w:val="34"/>
          <w:szCs w:val="34"/>
          <w:rtl/>
        </w:rPr>
        <w:t>الوقف</w:t>
      </w:r>
      <w:r w:rsidRPr="00A6614D">
        <w:rPr>
          <w:rFonts w:ascii="mylotus" w:hAnsi="mylotus"/>
          <w:sz w:val="34"/>
          <w:szCs w:val="34"/>
          <w:rtl/>
        </w:rPr>
        <w:t xml:space="preserve"> - على أن يقول له: (بعتك هذه العين أو آجرتك هذه العين بشرط أن تكون مصرفاً للزكاة أو الوقف على نحو شرط النتيجة)</w:t>
      </w:r>
      <w:r w:rsidR="00A80C28">
        <w:rPr>
          <w:rFonts w:ascii="mylotus" w:hAnsi="mylotus" w:hint="cs"/>
          <w:sz w:val="34"/>
          <w:szCs w:val="34"/>
          <w:rtl/>
        </w:rPr>
        <w:t xml:space="preserve"> -</w:t>
      </w:r>
      <w:r w:rsidRPr="00A6614D">
        <w:rPr>
          <w:rFonts w:ascii="mylotus" w:hAnsi="mylotus"/>
          <w:sz w:val="34"/>
          <w:szCs w:val="34"/>
          <w:rtl/>
        </w:rPr>
        <w:t>، وبتمامية المعاملة مباشرة يكون ما دخل في ملكه بما هو ولي مصرفاً للزكاة والوقف بمقتضى نفوذ شرط النتيجة، لإطلاق (المؤمنون عند شروطهم) ولايكون في الشرط مخالفة لمقتضى العقد، حيث إن نتيجة العقد ملك الولي بماهو ولي، وصيرورة ملكه مصرفا</w:t>
      </w:r>
      <w:r w:rsidR="00A80C28">
        <w:rPr>
          <w:rFonts w:ascii="mylotus" w:hAnsi="mylotus" w:hint="cs"/>
          <w:sz w:val="34"/>
          <w:szCs w:val="34"/>
          <w:rtl/>
        </w:rPr>
        <w:t>ً</w:t>
      </w:r>
      <w:r w:rsidRPr="00A6614D">
        <w:rPr>
          <w:rFonts w:ascii="mylotus" w:hAnsi="mylotus"/>
          <w:sz w:val="34"/>
          <w:szCs w:val="34"/>
          <w:rtl/>
        </w:rPr>
        <w:t xml:space="preserve"> في المول</w:t>
      </w:r>
      <w:r w:rsidR="00185896">
        <w:rPr>
          <w:rFonts w:ascii="mylotus" w:hAnsi="mylotus" w:hint="cs"/>
          <w:sz w:val="34"/>
          <w:szCs w:val="34"/>
          <w:rtl/>
        </w:rPr>
        <w:t>ّ</w:t>
      </w:r>
      <w:r w:rsidRPr="00A6614D">
        <w:rPr>
          <w:rFonts w:ascii="mylotus" w:hAnsi="mylotus"/>
          <w:sz w:val="34"/>
          <w:szCs w:val="34"/>
          <w:rtl/>
        </w:rPr>
        <w:t>ى عليه من آثار الولاية لا</w:t>
      </w:r>
      <w:r w:rsidR="00185896">
        <w:rPr>
          <w:rFonts w:ascii="mylotus" w:hAnsi="mylotus" w:hint="cs"/>
          <w:sz w:val="34"/>
          <w:szCs w:val="34"/>
          <w:rtl/>
        </w:rPr>
        <w:t xml:space="preserve"> </w:t>
      </w:r>
      <w:r w:rsidRPr="00A6614D">
        <w:rPr>
          <w:rFonts w:ascii="mylotus" w:hAnsi="mylotus"/>
          <w:sz w:val="34"/>
          <w:szCs w:val="34"/>
          <w:rtl/>
        </w:rPr>
        <w:t>مناقض لها</w:t>
      </w:r>
      <w:r w:rsidR="00185896">
        <w:rPr>
          <w:rFonts w:ascii="mylotus" w:hAnsi="mylotus" w:hint="cs"/>
          <w:sz w:val="34"/>
          <w:szCs w:val="34"/>
          <w:rtl/>
        </w:rPr>
        <w:t>.</w:t>
      </w:r>
    </w:p>
    <w:p w14:paraId="0C9CB84E" w14:textId="77777777" w:rsidR="00185896" w:rsidRDefault="00A6614D" w:rsidP="00A80C28">
      <w:pPr>
        <w:pStyle w:val="a0"/>
        <w:bidi/>
        <w:spacing w:line="216" w:lineRule="auto"/>
        <w:rPr>
          <w:rFonts w:ascii="mylotus" w:hAnsi="mylotus"/>
          <w:sz w:val="34"/>
          <w:szCs w:val="34"/>
          <w:rtl/>
        </w:rPr>
      </w:pPr>
      <w:r w:rsidRPr="00A6614D">
        <w:rPr>
          <w:rFonts w:ascii="mylotus" w:hAnsi="mylotus"/>
          <w:sz w:val="34"/>
          <w:szCs w:val="34"/>
          <w:rtl/>
        </w:rPr>
        <w:t>كما أن لسيدنا الخوئي قد</w:t>
      </w:r>
      <w:r w:rsidR="00185896">
        <w:rPr>
          <w:rFonts w:ascii="mylotus" w:hAnsi="mylotus" w:hint="cs"/>
          <w:sz w:val="34"/>
          <w:szCs w:val="34"/>
          <w:rtl/>
        </w:rPr>
        <w:t>س سره الشريف</w:t>
      </w:r>
      <w:r w:rsidRPr="00A6614D">
        <w:rPr>
          <w:rFonts w:ascii="mylotus" w:hAnsi="mylotus"/>
          <w:sz w:val="34"/>
          <w:szCs w:val="34"/>
          <w:rtl/>
        </w:rPr>
        <w:t xml:space="preserve"> أن يلتزم أنه لو استأجر عينا</w:t>
      </w:r>
      <w:r w:rsidR="00185896">
        <w:rPr>
          <w:rFonts w:ascii="mylotus" w:hAnsi="mylotus" w:hint="cs"/>
          <w:sz w:val="34"/>
          <w:szCs w:val="34"/>
          <w:rtl/>
        </w:rPr>
        <w:t>ً</w:t>
      </w:r>
      <w:r w:rsidRPr="00A6614D">
        <w:rPr>
          <w:rFonts w:ascii="mylotus" w:hAnsi="mylotus"/>
          <w:sz w:val="34"/>
          <w:szCs w:val="34"/>
          <w:rtl/>
        </w:rPr>
        <w:t xml:space="preserve"> لجهتين مختلفتين من حيث الملك وعدمه، كما لو استأجر سيارة لنقل مال اليتيم ومال الوقف المصرفي بالتبعيض في جهة المنفعة </w:t>
      </w:r>
      <w:r w:rsidRPr="00A6614D">
        <w:rPr>
          <w:rFonts w:ascii="mylotus" w:hAnsi="mylotus"/>
          <w:sz w:val="34"/>
          <w:szCs w:val="34"/>
          <w:rtl/>
        </w:rPr>
        <w:lastRenderedPageBreak/>
        <w:t>فجزء منها بالنسبة لمال اليتيم ملك له بالإجارة، وجزء منها بالنسبة لمال الوقف ملك للولي بما</w:t>
      </w:r>
      <w:r w:rsidR="00185896">
        <w:rPr>
          <w:rFonts w:ascii="mylotus" w:hAnsi="mylotus" w:hint="cs"/>
          <w:sz w:val="34"/>
          <w:szCs w:val="34"/>
          <w:rtl/>
        </w:rPr>
        <w:t xml:space="preserve"> </w:t>
      </w:r>
      <w:r w:rsidRPr="00A6614D">
        <w:rPr>
          <w:rFonts w:ascii="mylotus" w:hAnsi="mylotus"/>
          <w:sz w:val="34"/>
          <w:szCs w:val="34"/>
          <w:rtl/>
        </w:rPr>
        <w:t>هو ول</w:t>
      </w:r>
      <w:r w:rsidR="00185896">
        <w:rPr>
          <w:rFonts w:ascii="mylotus" w:hAnsi="mylotus" w:hint="cs"/>
          <w:sz w:val="34"/>
          <w:szCs w:val="34"/>
          <w:rtl/>
        </w:rPr>
        <w:t>ي</w:t>
      </w:r>
      <w:r w:rsidRPr="00A6614D">
        <w:rPr>
          <w:rFonts w:ascii="mylotus" w:hAnsi="mylotus"/>
          <w:sz w:val="34"/>
          <w:szCs w:val="34"/>
          <w:rtl/>
        </w:rPr>
        <w:t>، نظير أن يستأجر مالكين سيارة واحدة لنقل متاعيهما ف</w:t>
      </w:r>
      <w:r w:rsidR="00185896">
        <w:rPr>
          <w:rFonts w:ascii="mylotus" w:hAnsi="mylotus" w:hint="cs"/>
          <w:sz w:val="34"/>
          <w:szCs w:val="34"/>
          <w:rtl/>
        </w:rPr>
        <w:t>إ</w:t>
      </w:r>
      <w:r w:rsidRPr="00A6614D">
        <w:rPr>
          <w:rFonts w:ascii="mylotus" w:hAnsi="mylotus"/>
          <w:sz w:val="34"/>
          <w:szCs w:val="34"/>
          <w:rtl/>
        </w:rPr>
        <w:t>ن التبعيض في ملك المنفعة بالنسبة لهما حاصل لا</w:t>
      </w:r>
      <w:r w:rsidR="00185896">
        <w:rPr>
          <w:rFonts w:ascii="mylotus" w:hAnsi="mylotus" w:hint="cs"/>
          <w:sz w:val="34"/>
          <w:szCs w:val="34"/>
          <w:rtl/>
        </w:rPr>
        <w:t xml:space="preserve"> </w:t>
      </w:r>
      <w:r w:rsidRPr="00A6614D">
        <w:rPr>
          <w:rFonts w:ascii="mylotus" w:hAnsi="mylotus"/>
          <w:sz w:val="34"/>
          <w:szCs w:val="34"/>
          <w:rtl/>
        </w:rPr>
        <w:t>محالة فكذلك في مورد النقض</w:t>
      </w:r>
      <w:r w:rsidR="00185896">
        <w:rPr>
          <w:rFonts w:ascii="mylotus" w:hAnsi="mylotus" w:hint="cs"/>
          <w:sz w:val="34"/>
          <w:szCs w:val="34"/>
          <w:rtl/>
        </w:rPr>
        <w:t>.</w:t>
      </w:r>
    </w:p>
    <w:p w14:paraId="5698207A" w14:textId="705EC9CC" w:rsidR="00185896" w:rsidRDefault="00A6614D" w:rsidP="00187EF7">
      <w:pPr>
        <w:pStyle w:val="a0"/>
        <w:bidi/>
        <w:spacing w:line="216" w:lineRule="auto"/>
        <w:rPr>
          <w:rFonts w:ascii="mylotus" w:hAnsi="mylotus"/>
          <w:sz w:val="34"/>
          <w:szCs w:val="34"/>
          <w:rtl/>
        </w:rPr>
      </w:pPr>
      <w:r w:rsidRPr="00A6614D">
        <w:rPr>
          <w:rFonts w:ascii="mylotus" w:hAnsi="mylotus"/>
          <w:sz w:val="34"/>
          <w:szCs w:val="34"/>
          <w:rtl/>
        </w:rPr>
        <w:t>لكن الإنصاف عدم تمامية ما</w:t>
      </w:r>
      <w:r w:rsidR="00185896">
        <w:rPr>
          <w:rFonts w:ascii="mylotus" w:hAnsi="mylotus" w:hint="cs"/>
          <w:sz w:val="34"/>
          <w:szCs w:val="34"/>
          <w:rtl/>
        </w:rPr>
        <w:t xml:space="preserve"> </w:t>
      </w:r>
      <w:r w:rsidRPr="00A6614D">
        <w:rPr>
          <w:rFonts w:ascii="mylotus" w:hAnsi="mylotus"/>
          <w:sz w:val="34"/>
          <w:szCs w:val="34"/>
          <w:rtl/>
        </w:rPr>
        <w:t>أفاده قد</w:t>
      </w:r>
      <w:r w:rsidR="00185896">
        <w:rPr>
          <w:rFonts w:ascii="mylotus" w:hAnsi="mylotus" w:hint="cs"/>
          <w:sz w:val="34"/>
          <w:szCs w:val="34"/>
          <w:rtl/>
        </w:rPr>
        <w:t>س سره الشريف</w:t>
      </w:r>
      <w:r w:rsidRPr="00A6614D">
        <w:rPr>
          <w:rFonts w:ascii="mylotus" w:hAnsi="mylotus"/>
          <w:sz w:val="34"/>
          <w:szCs w:val="34"/>
          <w:rtl/>
        </w:rPr>
        <w:t xml:space="preserve"> حيث لم يقم دليل على ثبوت الولاية بهذا النحو، كما أشار لذلك بعض الأعلام ر</w:t>
      </w:r>
      <w:r w:rsidR="00185896">
        <w:rPr>
          <w:rFonts w:ascii="mylotus" w:hAnsi="mylotus" w:hint="cs"/>
          <w:sz w:val="34"/>
          <w:szCs w:val="34"/>
          <w:rtl/>
        </w:rPr>
        <w:t>حمه الله</w:t>
      </w:r>
      <w:r w:rsidRPr="00A6614D">
        <w:rPr>
          <w:rFonts w:ascii="mylotus" w:hAnsi="mylotus"/>
          <w:sz w:val="34"/>
          <w:szCs w:val="34"/>
          <w:rtl/>
        </w:rPr>
        <w:t>، فإن مدرك الولاية إما الأمور الحسبية - أي أن ثبوت الولاية على الوقف أو الزكاة لاقتضاء الحسبة لذلك - أو أنه دليل لفظي، وعلى كلا المدركين لا يوجد دليل على صلاحية الولاية بهذا النحو من السعة</w:t>
      </w:r>
      <w:r w:rsidR="00185896">
        <w:rPr>
          <w:rFonts w:ascii="mylotus" w:hAnsi="mylotus" w:hint="cs"/>
          <w:sz w:val="34"/>
          <w:szCs w:val="34"/>
          <w:rtl/>
        </w:rPr>
        <w:t>،</w:t>
      </w:r>
      <w:r w:rsidRPr="00A6614D">
        <w:rPr>
          <w:rFonts w:ascii="mylotus" w:hAnsi="mylotus"/>
          <w:sz w:val="34"/>
          <w:szCs w:val="34"/>
          <w:rtl/>
        </w:rPr>
        <w:t xml:space="preserve"> بأن يجري المعاملات لنفسه بما هو ولي بنحو تكون نتيجة المعاملة أن يصبح المال مصرفاً للزكاة أو للوقف على سبيل المصرفية.</w:t>
      </w:r>
      <w:r w:rsidR="00187EF7">
        <w:rPr>
          <w:rFonts w:ascii="mylotus" w:hAnsi="mylotus" w:hint="cs"/>
          <w:sz w:val="34"/>
          <w:szCs w:val="34"/>
          <w:rtl/>
        </w:rPr>
        <w:t xml:space="preserve"> </w:t>
      </w:r>
      <w:bookmarkStart w:id="0" w:name="_GoBack"/>
      <w:bookmarkEnd w:id="0"/>
      <w:r w:rsidRPr="00A6614D">
        <w:rPr>
          <w:rFonts w:ascii="mylotus" w:hAnsi="mylotus"/>
          <w:sz w:val="34"/>
          <w:szCs w:val="34"/>
          <w:rtl/>
        </w:rPr>
        <w:t>ولازم ذلك ورود الإشكال في صلاحية الولاية للإقتراض لجهة الوقف على سبيل المصرفية</w:t>
      </w:r>
      <w:r w:rsidR="00185896">
        <w:rPr>
          <w:rFonts w:ascii="mylotus" w:hAnsi="mylotus" w:hint="cs"/>
          <w:sz w:val="34"/>
          <w:szCs w:val="34"/>
          <w:rtl/>
        </w:rPr>
        <w:t>.</w:t>
      </w:r>
    </w:p>
    <w:p w14:paraId="75C0FD8B" w14:textId="77777777" w:rsidR="00185896" w:rsidRDefault="00A6614D" w:rsidP="00A80C28">
      <w:pPr>
        <w:pStyle w:val="a0"/>
        <w:bidi/>
        <w:spacing w:line="216" w:lineRule="auto"/>
        <w:rPr>
          <w:rFonts w:ascii="mylotus" w:hAnsi="mylotus"/>
          <w:sz w:val="34"/>
          <w:szCs w:val="34"/>
          <w:rtl/>
        </w:rPr>
      </w:pPr>
      <w:r w:rsidRPr="00A6614D">
        <w:rPr>
          <w:rFonts w:ascii="mylotus" w:hAnsi="mylotus"/>
          <w:sz w:val="34"/>
          <w:szCs w:val="34"/>
          <w:rtl/>
        </w:rPr>
        <w:t>فما ذكره سيد المستمسك قدس سره الشريف من الإشكال على تعريف الإجارة - بأنها تمليك عمل أو منفعة بعوض - إشكال مستحك</w:t>
      </w:r>
      <w:r w:rsidR="00185896">
        <w:rPr>
          <w:rFonts w:ascii="mylotus" w:hAnsi="mylotus" w:hint="cs"/>
          <w:sz w:val="34"/>
          <w:szCs w:val="34"/>
          <w:rtl/>
        </w:rPr>
        <w:t>م.</w:t>
      </w:r>
    </w:p>
    <w:p w14:paraId="49AA5C92" w14:textId="42F84D1C" w:rsidR="00185896" w:rsidRDefault="00A6614D" w:rsidP="00BF04B6">
      <w:pPr>
        <w:pStyle w:val="a0"/>
        <w:bidi/>
        <w:spacing w:line="216" w:lineRule="auto"/>
        <w:rPr>
          <w:rFonts w:ascii="mylotus" w:hAnsi="mylotus"/>
          <w:sz w:val="34"/>
          <w:szCs w:val="34"/>
          <w:rtl/>
        </w:rPr>
      </w:pPr>
      <w:r w:rsidRPr="00185896">
        <w:rPr>
          <w:rFonts w:ascii="mylotus" w:hAnsi="mylotus"/>
          <w:b/>
          <w:bCs/>
          <w:sz w:val="34"/>
          <w:szCs w:val="34"/>
          <w:rtl/>
        </w:rPr>
        <w:t>التعريف الثاني للإجارة:</w:t>
      </w:r>
      <w:r w:rsidRPr="00A6614D">
        <w:rPr>
          <w:rFonts w:ascii="mylotus" w:hAnsi="mylotus"/>
          <w:sz w:val="34"/>
          <w:szCs w:val="34"/>
          <w:rtl/>
        </w:rPr>
        <w:t xml:space="preserve"> ما أشار إليه سيد العروة بقوله: </w:t>
      </w:r>
      <w:r w:rsidRPr="00185896">
        <w:rPr>
          <w:rFonts w:ascii="mylotus" w:hAnsi="mylotus"/>
          <w:b/>
          <w:bCs/>
          <w:sz w:val="34"/>
          <w:szCs w:val="34"/>
          <w:rtl/>
        </w:rPr>
        <w:t>(الإجارة هي تمليك عمل أو منفعة بعوض، ويمكن أن يقال إن حقيقتها التسليط على عين للانتفاع بها بعوض)،</w:t>
      </w:r>
      <w:r w:rsidRPr="00A6614D">
        <w:rPr>
          <w:rFonts w:ascii="mylotus" w:hAnsi="mylotus"/>
          <w:sz w:val="34"/>
          <w:szCs w:val="34"/>
          <w:rtl/>
        </w:rPr>
        <w:t xml:space="preserve"> أي أن مؤدى عقد الإجارة منح الم</w:t>
      </w:r>
      <w:r w:rsidR="00185896">
        <w:rPr>
          <w:rFonts w:ascii="mylotus" w:hAnsi="mylotus" w:hint="cs"/>
          <w:sz w:val="34"/>
          <w:szCs w:val="34"/>
          <w:rtl/>
        </w:rPr>
        <w:t>ُ</w:t>
      </w:r>
      <w:r w:rsidRPr="00A6614D">
        <w:rPr>
          <w:rFonts w:ascii="mylotus" w:hAnsi="mylotus"/>
          <w:sz w:val="34"/>
          <w:szCs w:val="34"/>
          <w:rtl/>
        </w:rPr>
        <w:t>ؤج</w:t>
      </w:r>
      <w:r w:rsidR="00185896">
        <w:rPr>
          <w:rFonts w:ascii="mylotus" w:hAnsi="mylotus" w:hint="cs"/>
          <w:sz w:val="34"/>
          <w:szCs w:val="34"/>
          <w:rtl/>
        </w:rPr>
        <w:t>ِ</w:t>
      </w:r>
      <w:r w:rsidRPr="00A6614D">
        <w:rPr>
          <w:rFonts w:ascii="mylotus" w:hAnsi="mylotus"/>
          <w:sz w:val="34"/>
          <w:szCs w:val="34"/>
          <w:rtl/>
        </w:rPr>
        <w:t>ر الم</w:t>
      </w:r>
      <w:r w:rsidR="00185896">
        <w:rPr>
          <w:rFonts w:ascii="mylotus" w:hAnsi="mylotus" w:hint="cs"/>
          <w:sz w:val="34"/>
          <w:szCs w:val="34"/>
          <w:rtl/>
        </w:rPr>
        <w:t>ُ</w:t>
      </w:r>
      <w:r w:rsidRPr="00A6614D">
        <w:rPr>
          <w:rFonts w:ascii="mylotus" w:hAnsi="mylotus"/>
          <w:sz w:val="34"/>
          <w:szCs w:val="34"/>
          <w:rtl/>
        </w:rPr>
        <w:t>ستأج</w:t>
      </w:r>
      <w:r w:rsidR="00185896">
        <w:rPr>
          <w:rFonts w:ascii="mylotus" w:hAnsi="mylotus" w:hint="cs"/>
          <w:sz w:val="34"/>
          <w:szCs w:val="34"/>
          <w:rtl/>
        </w:rPr>
        <w:t>ِ</w:t>
      </w:r>
      <w:r w:rsidRPr="00A6614D">
        <w:rPr>
          <w:rFonts w:ascii="mylotus" w:hAnsi="mylotus"/>
          <w:sz w:val="34"/>
          <w:szCs w:val="34"/>
          <w:rtl/>
        </w:rPr>
        <w:t>ر سلطنة</w:t>
      </w:r>
      <w:r w:rsidR="00185896">
        <w:rPr>
          <w:rFonts w:ascii="mylotus" w:hAnsi="mylotus" w:hint="cs"/>
          <w:sz w:val="34"/>
          <w:szCs w:val="34"/>
          <w:rtl/>
        </w:rPr>
        <w:t>ً</w:t>
      </w:r>
      <w:r w:rsidRPr="00A6614D">
        <w:rPr>
          <w:rFonts w:ascii="mylotus" w:hAnsi="mylotus"/>
          <w:sz w:val="34"/>
          <w:szCs w:val="34"/>
          <w:rtl/>
        </w:rPr>
        <w:t xml:space="preserve"> على الانتفاع بالعين بعوض</w:t>
      </w:r>
      <w:r w:rsidR="00185896">
        <w:rPr>
          <w:rFonts w:ascii="mylotus" w:hAnsi="mylotus" w:hint="cs"/>
          <w:sz w:val="34"/>
          <w:szCs w:val="34"/>
          <w:rtl/>
        </w:rPr>
        <w:t>ٍ.</w:t>
      </w:r>
    </w:p>
    <w:p w14:paraId="60995A08" w14:textId="77777777" w:rsidR="00185896" w:rsidRDefault="00A6614D" w:rsidP="00A80C28">
      <w:pPr>
        <w:pStyle w:val="a0"/>
        <w:bidi/>
        <w:spacing w:line="216" w:lineRule="auto"/>
        <w:rPr>
          <w:rFonts w:ascii="mylotus" w:hAnsi="mylotus"/>
          <w:b/>
          <w:bCs/>
          <w:sz w:val="34"/>
          <w:szCs w:val="34"/>
          <w:rtl/>
        </w:rPr>
      </w:pPr>
      <w:r w:rsidRPr="00185896">
        <w:rPr>
          <w:rFonts w:ascii="mylotus" w:hAnsi="mylotus"/>
          <w:b/>
          <w:bCs/>
          <w:sz w:val="34"/>
          <w:szCs w:val="34"/>
          <w:rtl/>
        </w:rPr>
        <w:t>وهنا ثلاثة إيرادات على التعريف المذكور</w:t>
      </w:r>
      <w:r w:rsidRPr="00185896">
        <w:rPr>
          <w:rFonts w:ascii="mylotus" w:hAnsi="mylotus"/>
          <w:b/>
          <w:bCs/>
          <w:sz w:val="34"/>
          <w:szCs w:val="34"/>
        </w:rPr>
        <w:t>:</w:t>
      </w:r>
    </w:p>
    <w:p w14:paraId="67C92629" w14:textId="77777777" w:rsidR="00185896" w:rsidRDefault="00A6614D" w:rsidP="00A80C28">
      <w:pPr>
        <w:pStyle w:val="a0"/>
        <w:bidi/>
        <w:spacing w:line="216" w:lineRule="auto"/>
        <w:rPr>
          <w:rFonts w:ascii="mylotus" w:hAnsi="mylotus"/>
          <w:sz w:val="34"/>
          <w:szCs w:val="34"/>
          <w:rtl/>
        </w:rPr>
      </w:pPr>
      <w:r w:rsidRPr="00185896">
        <w:rPr>
          <w:rFonts w:ascii="mylotus" w:hAnsi="mylotus"/>
          <w:b/>
          <w:bCs/>
          <w:sz w:val="34"/>
          <w:szCs w:val="34"/>
          <w:rtl/>
        </w:rPr>
        <w:t>الإيراد الأول:</w:t>
      </w:r>
      <w:r w:rsidRPr="00A6614D">
        <w:rPr>
          <w:rFonts w:ascii="mylotus" w:hAnsi="mylotus"/>
          <w:sz w:val="34"/>
          <w:szCs w:val="34"/>
          <w:rtl/>
        </w:rPr>
        <w:t xml:space="preserve"> ما ذكره المحقق الأصفهاني قدس سره [في كتاب الإجارة ص6] وهو أن السلطنة ذات محتملات ثلاثة</w:t>
      </w:r>
      <w:r w:rsidRPr="00A6614D">
        <w:rPr>
          <w:rFonts w:ascii="mylotus" w:hAnsi="mylotus"/>
          <w:sz w:val="34"/>
          <w:szCs w:val="34"/>
        </w:rPr>
        <w:t>:</w:t>
      </w:r>
    </w:p>
    <w:p w14:paraId="26CE44D9" w14:textId="3A254DCE" w:rsidR="00185896" w:rsidRDefault="00A80C28" w:rsidP="00A80C28">
      <w:pPr>
        <w:pStyle w:val="a0"/>
        <w:bidi/>
        <w:spacing w:line="216" w:lineRule="auto"/>
        <w:ind w:left="397" w:firstLine="0"/>
        <w:rPr>
          <w:rFonts w:ascii="mylotus" w:hAnsi="mylotus"/>
          <w:sz w:val="34"/>
          <w:szCs w:val="34"/>
        </w:rPr>
      </w:pPr>
      <w:r>
        <w:rPr>
          <w:rFonts w:ascii="mylotus" w:hAnsi="mylotus" w:hint="cs"/>
          <w:sz w:val="34"/>
          <w:szCs w:val="34"/>
          <w:rtl/>
        </w:rPr>
        <w:t xml:space="preserve">1- </w:t>
      </w:r>
      <w:r w:rsidR="00A6614D" w:rsidRPr="00A6614D">
        <w:rPr>
          <w:rFonts w:ascii="mylotus" w:hAnsi="mylotus"/>
          <w:sz w:val="34"/>
          <w:szCs w:val="34"/>
          <w:rtl/>
        </w:rPr>
        <w:t>أن يراد بها السلطنة التكوينية</w:t>
      </w:r>
      <w:r w:rsidR="00A6614D" w:rsidRPr="00A6614D">
        <w:rPr>
          <w:rFonts w:ascii="mylotus" w:hAnsi="mylotus"/>
          <w:sz w:val="34"/>
          <w:szCs w:val="34"/>
        </w:rPr>
        <w:t>.</w:t>
      </w:r>
    </w:p>
    <w:p w14:paraId="435CA6BD" w14:textId="4426B2E0" w:rsidR="00185896" w:rsidRDefault="00A80C28" w:rsidP="00A80C28">
      <w:pPr>
        <w:pStyle w:val="a0"/>
        <w:bidi/>
        <w:spacing w:line="216" w:lineRule="auto"/>
        <w:ind w:left="397" w:firstLine="0"/>
        <w:rPr>
          <w:rFonts w:ascii="mylotus" w:hAnsi="mylotus"/>
          <w:sz w:val="34"/>
          <w:szCs w:val="34"/>
        </w:rPr>
      </w:pPr>
      <w:r>
        <w:rPr>
          <w:rFonts w:ascii="mylotus" w:hAnsi="mylotus" w:hint="cs"/>
          <w:sz w:val="34"/>
          <w:szCs w:val="34"/>
          <w:rtl/>
        </w:rPr>
        <w:t xml:space="preserve">2- </w:t>
      </w:r>
      <w:r w:rsidR="00A6614D" w:rsidRPr="00185896">
        <w:rPr>
          <w:rFonts w:ascii="mylotus" w:hAnsi="mylotus"/>
          <w:sz w:val="34"/>
          <w:szCs w:val="34"/>
          <w:rtl/>
        </w:rPr>
        <w:t>أن يراد بالسلطنة جواز التصرف تكليفاً ووضعاً</w:t>
      </w:r>
      <w:r w:rsidR="00A6614D" w:rsidRPr="00185896">
        <w:rPr>
          <w:rFonts w:ascii="mylotus" w:hAnsi="mylotus"/>
          <w:sz w:val="34"/>
          <w:szCs w:val="34"/>
        </w:rPr>
        <w:t>.</w:t>
      </w:r>
    </w:p>
    <w:p w14:paraId="74FFDB59" w14:textId="1BA90974" w:rsidR="00E752BC" w:rsidRDefault="00A80C28" w:rsidP="00A80C28">
      <w:pPr>
        <w:pStyle w:val="a0"/>
        <w:bidi/>
        <w:spacing w:line="216" w:lineRule="auto"/>
        <w:ind w:left="397" w:firstLine="0"/>
        <w:rPr>
          <w:rFonts w:ascii="mylotus" w:hAnsi="mylotus"/>
          <w:sz w:val="34"/>
          <w:szCs w:val="34"/>
        </w:rPr>
      </w:pPr>
      <w:r>
        <w:rPr>
          <w:rFonts w:ascii="mylotus" w:hAnsi="mylotus" w:hint="cs"/>
          <w:sz w:val="34"/>
          <w:szCs w:val="34"/>
          <w:rtl/>
        </w:rPr>
        <w:t xml:space="preserve">3- </w:t>
      </w:r>
      <w:r w:rsidR="00A6614D" w:rsidRPr="00185896">
        <w:rPr>
          <w:rFonts w:ascii="mylotus" w:hAnsi="mylotus"/>
          <w:sz w:val="34"/>
          <w:szCs w:val="34"/>
          <w:rtl/>
        </w:rPr>
        <w:t>أن يراد بالسلطنة السلطنة الاعتبارية</w:t>
      </w:r>
      <w:r w:rsidR="00A6614D" w:rsidRPr="00185896">
        <w:rPr>
          <w:rFonts w:ascii="mylotus" w:hAnsi="mylotus"/>
          <w:sz w:val="34"/>
          <w:szCs w:val="34"/>
        </w:rPr>
        <w:t>.</w:t>
      </w:r>
    </w:p>
    <w:p w14:paraId="3AB2A60D" w14:textId="77777777" w:rsidR="00E752BC" w:rsidRDefault="00A6614D" w:rsidP="00A80C28">
      <w:pPr>
        <w:pStyle w:val="a0"/>
        <w:bidi/>
        <w:spacing w:line="216" w:lineRule="auto"/>
        <w:ind w:left="397" w:firstLine="0"/>
        <w:rPr>
          <w:rFonts w:ascii="mylotus" w:hAnsi="mylotus"/>
          <w:sz w:val="34"/>
          <w:szCs w:val="34"/>
          <w:rtl/>
        </w:rPr>
      </w:pPr>
      <w:r w:rsidRPr="00E752BC">
        <w:rPr>
          <w:rFonts w:ascii="mylotus" w:hAnsi="mylotus"/>
          <w:sz w:val="34"/>
          <w:szCs w:val="34"/>
          <w:rtl/>
        </w:rPr>
        <w:t>وجميع المحتملات مما لا يتصور الوصول إليه بعقد الإجارة</w:t>
      </w:r>
      <w:r w:rsidR="00E752BC" w:rsidRPr="00E752BC">
        <w:rPr>
          <w:rFonts w:ascii="mylotus" w:hAnsi="mylotus" w:hint="cs"/>
          <w:sz w:val="34"/>
          <w:szCs w:val="34"/>
          <w:rtl/>
        </w:rPr>
        <w:t>.</w:t>
      </w:r>
    </w:p>
    <w:p w14:paraId="17AD4CE7" w14:textId="16A3ACAC" w:rsidR="00E752BC" w:rsidRDefault="00A6614D" w:rsidP="002E73E1">
      <w:pPr>
        <w:pStyle w:val="a0"/>
        <w:widowControl w:val="0"/>
        <w:bidi/>
        <w:spacing w:line="216" w:lineRule="auto"/>
        <w:rPr>
          <w:rFonts w:ascii="mylotus" w:hAnsi="mylotus"/>
          <w:sz w:val="34"/>
          <w:szCs w:val="34"/>
          <w:rtl/>
        </w:rPr>
      </w:pPr>
      <w:r w:rsidRPr="00E752BC">
        <w:rPr>
          <w:rFonts w:ascii="mylotus" w:hAnsi="mylotus"/>
          <w:b/>
          <w:bCs/>
          <w:sz w:val="34"/>
          <w:szCs w:val="34"/>
          <w:rtl/>
        </w:rPr>
        <w:t>أما المحتمل الأول</w:t>
      </w:r>
      <w:r w:rsidRPr="00A6614D">
        <w:rPr>
          <w:rFonts w:ascii="mylotus" w:hAnsi="mylotus"/>
          <w:sz w:val="34"/>
          <w:szCs w:val="34"/>
          <w:rtl/>
        </w:rPr>
        <w:t xml:space="preserve"> </w:t>
      </w:r>
      <w:r w:rsidR="00A80C28">
        <w:rPr>
          <w:rFonts w:ascii="mylotus" w:hAnsi="mylotus" w:hint="cs"/>
          <w:sz w:val="34"/>
          <w:szCs w:val="34"/>
          <w:rtl/>
        </w:rPr>
        <w:t>-</w:t>
      </w:r>
      <w:r w:rsidRPr="00A6614D">
        <w:rPr>
          <w:rFonts w:ascii="mylotus" w:hAnsi="mylotus"/>
          <w:sz w:val="34"/>
          <w:szCs w:val="34"/>
          <w:rtl/>
        </w:rPr>
        <w:t xml:space="preserve"> </w:t>
      </w:r>
      <w:r w:rsidRPr="00A6614D">
        <w:rPr>
          <w:rFonts w:ascii="mylotus" w:hAnsi="mylotus" w:hint="cs"/>
          <w:sz w:val="34"/>
          <w:szCs w:val="34"/>
          <w:rtl/>
        </w:rPr>
        <w:t>وهو</w:t>
      </w:r>
      <w:r w:rsidRPr="00A6614D">
        <w:rPr>
          <w:rFonts w:ascii="mylotus" w:hAnsi="mylotus"/>
          <w:sz w:val="34"/>
          <w:szCs w:val="34"/>
          <w:rtl/>
        </w:rPr>
        <w:t xml:space="preserve"> </w:t>
      </w:r>
      <w:r w:rsidRPr="00A6614D">
        <w:rPr>
          <w:rFonts w:ascii="mylotus" w:hAnsi="mylotus" w:hint="cs"/>
          <w:sz w:val="34"/>
          <w:szCs w:val="34"/>
          <w:rtl/>
        </w:rPr>
        <w:t>السلطنة</w:t>
      </w:r>
      <w:r w:rsidRPr="00A6614D">
        <w:rPr>
          <w:rFonts w:ascii="mylotus" w:hAnsi="mylotus"/>
          <w:sz w:val="34"/>
          <w:szCs w:val="34"/>
          <w:rtl/>
        </w:rPr>
        <w:t xml:space="preserve"> </w:t>
      </w:r>
      <w:r w:rsidRPr="00A6614D">
        <w:rPr>
          <w:rFonts w:ascii="mylotus" w:hAnsi="mylotus" w:hint="cs"/>
          <w:sz w:val="34"/>
          <w:szCs w:val="34"/>
          <w:rtl/>
        </w:rPr>
        <w:t>التكوينية</w:t>
      </w:r>
      <w:r w:rsidRPr="00A6614D">
        <w:rPr>
          <w:rFonts w:ascii="mylotus" w:hAnsi="mylotus"/>
          <w:sz w:val="34"/>
          <w:szCs w:val="34"/>
          <w:rtl/>
        </w:rPr>
        <w:t xml:space="preserve"> -</w:t>
      </w:r>
      <w:r w:rsidR="00E752BC">
        <w:rPr>
          <w:rFonts w:ascii="mylotus" w:hAnsi="mylotus" w:hint="cs"/>
          <w:sz w:val="34"/>
          <w:szCs w:val="34"/>
          <w:rtl/>
        </w:rPr>
        <w:t>:</w:t>
      </w:r>
      <w:r w:rsidRPr="00A6614D">
        <w:rPr>
          <w:rFonts w:ascii="mylotus" w:hAnsi="mylotus"/>
          <w:sz w:val="34"/>
          <w:szCs w:val="34"/>
          <w:rtl/>
        </w:rPr>
        <w:t xml:space="preserve"> </w:t>
      </w:r>
      <w:r w:rsidRPr="00A6614D">
        <w:rPr>
          <w:rFonts w:ascii="mylotus" w:hAnsi="mylotus" w:hint="cs"/>
          <w:sz w:val="34"/>
          <w:szCs w:val="34"/>
          <w:rtl/>
        </w:rPr>
        <w:t>فواضح،</w:t>
      </w:r>
      <w:r w:rsidRPr="00A6614D">
        <w:rPr>
          <w:rFonts w:ascii="mylotus" w:hAnsi="mylotus"/>
          <w:sz w:val="34"/>
          <w:szCs w:val="34"/>
          <w:rtl/>
        </w:rPr>
        <w:t xml:space="preserve"> </w:t>
      </w:r>
      <w:r w:rsidRPr="00A6614D">
        <w:rPr>
          <w:rFonts w:ascii="mylotus" w:hAnsi="mylotus" w:hint="cs"/>
          <w:sz w:val="34"/>
          <w:szCs w:val="34"/>
          <w:rtl/>
        </w:rPr>
        <w:t>إذ</w:t>
      </w:r>
      <w:r w:rsidRPr="00A6614D">
        <w:rPr>
          <w:rFonts w:ascii="mylotus" w:hAnsi="mylotus"/>
          <w:sz w:val="34"/>
          <w:szCs w:val="34"/>
          <w:rtl/>
        </w:rPr>
        <w:t xml:space="preserve"> </w:t>
      </w:r>
      <w:r w:rsidRPr="00A6614D">
        <w:rPr>
          <w:rFonts w:ascii="mylotus" w:hAnsi="mylotus" w:hint="cs"/>
          <w:sz w:val="34"/>
          <w:szCs w:val="34"/>
          <w:rtl/>
        </w:rPr>
        <w:t>لا</w:t>
      </w:r>
      <w:r w:rsidRPr="00A6614D">
        <w:rPr>
          <w:rFonts w:ascii="mylotus" w:hAnsi="mylotus"/>
          <w:sz w:val="34"/>
          <w:szCs w:val="34"/>
          <w:rtl/>
        </w:rPr>
        <w:t xml:space="preserve"> </w:t>
      </w:r>
      <w:r w:rsidRPr="00A6614D">
        <w:rPr>
          <w:rFonts w:ascii="mylotus" w:hAnsi="mylotus" w:hint="cs"/>
          <w:sz w:val="34"/>
          <w:szCs w:val="34"/>
          <w:rtl/>
        </w:rPr>
        <w:t>معنى</w:t>
      </w:r>
      <w:r w:rsidRPr="00A6614D">
        <w:rPr>
          <w:rFonts w:ascii="mylotus" w:hAnsi="mylotus"/>
          <w:sz w:val="34"/>
          <w:szCs w:val="34"/>
          <w:rtl/>
        </w:rPr>
        <w:t xml:space="preserve"> </w:t>
      </w:r>
      <w:r w:rsidRPr="00A6614D">
        <w:rPr>
          <w:rFonts w:ascii="mylotus" w:hAnsi="mylotus" w:hint="cs"/>
          <w:sz w:val="34"/>
          <w:szCs w:val="34"/>
          <w:rtl/>
        </w:rPr>
        <w:t>لتحقيق</w:t>
      </w:r>
      <w:r w:rsidRPr="00A6614D">
        <w:rPr>
          <w:rFonts w:ascii="mylotus" w:hAnsi="mylotus"/>
          <w:sz w:val="34"/>
          <w:szCs w:val="34"/>
          <w:rtl/>
        </w:rPr>
        <w:t xml:space="preserve"> </w:t>
      </w:r>
      <w:r w:rsidRPr="00A6614D">
        <w:rPr>
          <w:rFonts w:ascii="mylotus" w:hAnsi="mylotus" w:hint="cs"/>
          <w:sz w:val="34"/>
          <w:szCs w:val="34"/>
          <w:rtl/>
        </w:rPr>
        <w:t>السلطنة</w:t>
      </w:r>
      <w:r w:rsidRPr="00A6614D">
        <w:rPr>
          <w:rFonts w:ascii="mylotus" w:hAnsi="mylotus"/>
          <w:sz w:val="34"/>
          <w:szCs w:val="34"/>
          <w:rtl/>
        </w:rPr>
        <w:t xml:space="preserve"> </w:t>
      </w:r>
      <w:r w:rsidRPr="00A6614D">
        <w:rPr>
          <w:rFonts w:ascii="mylotus" w:hAnsi="mylotus" w:hint="cs"/>
          <w:sz w:val="34"/>
          <w:szCs w:val="34"/>
          <w:rtl/>
        </w:rPr>
        <w:t>الخارجية</w:t>
      </w:r>
      <w:r w:rsidRPr="00A6614D">
        <w:rPr>
          <w:rFonts w:ascii="mylotus" w:hAnsi="mylotus"/>
          <w:sz w:val="34"/>
          <w:szCs w:val="34"/>
          <w:rtl/>
        </w:rPr>
        <w:t xml:space="preserve"> </w:t>
      </w:r>
      <w:r w:rsidRPr="00A6614D">
        <w:rPr>
          <w:rFonts w:ascii="mylotus" w:hAnsi="mylotus" w:hint="cs"/>
          <w:sz w:val="34"/>
          <w:szCs w:val="34"/>
          <w:rtl/>
        </w:rPr>
        <w:t>التكوينية</w:t>
      </w:r>
      <w:r w:rsidRPr="00A6614D">
        <w:rPr>
          <w:rFonts w:ascii="mylotus" w:hAnsi="mylotus"/>
          <w:sz w:val="34"/>
          <w:szCs w:val="34"/>
          <w:rtl/>
        </w:rPr>
        <w:t xml:space="preserve"> </w:t>
      </w:r>
      <w:r w:rsidRPr="00A6614D">
        <w:rPr>
          <w:rFonts w:ascii="mylotus" w:hAnsi="mylotus" w:hint="cs"/>
          <w:sz w:val="34"/>
          <w:szCs w:val="34"/>
          <w:rtl/>
        </w:rPr>
        <w:t>بعقد</w:t>
      </w:r>
      <w:r w:rsidRPr="00A6614D">
        <w:rPr>
          <w:rFonts w:ascii="mylotus" w:hAnsi="mylotus"/>
          <w:sz w:val="34"/>
          <w:szCs w:val="34"/>
          <w:rtl/>
        </w:rPr>
        <w:t xml:space="preserve"> </w:t>
      </w:r>
      <w:r w:rsidRPr="00A6614D">
        <w:rPr>
          <w:rFonts w:ascii="mylotus" w:hAnsi="mylotus" w:hint="cs"/>
          <w:sz w:val="34"/>
          <w:szCs w:val="34"/>
          <w:rtl/>
        </w:rPr>
        <w:t>الإجارة،</w:t>
      </w:r>
      <w:r w:rsidRPr="00A6614D">
        <w:rPr>
          <w:rFonts w:ascii="mylotus" w:hAnsi="mylotus"/>
          <w:sz w:val="34"/>
          <w:szCs w:val="34"/>
          <w:rtl/>
        </w:rPr>
        <w:t xml:space="preserve"> </w:t>
      </w:r>
      <w:r w:rsidRPr="00A6614D">
        <w:rPr>
          <w:rFonts w:ascii="mylotus" w:hAnsi="mylotus" w:hint="cs"/>
          <w:sz w:val="34"/>
          <w:szCs w:val="34"/>
          <w:rtl/>
        </w:rPr>
        <w:t>الأمور</w:t>
      </w:r>
      <w:r w:rsidRPr="00A6614D">
        <w:rPr>
          <w:rFonts w:ascii="mylotus" w:hAnsi="mylotus"/>
          <w:sz w:val="34"/>
          <w:szCs w:val="34"/>
          <w:rtl/>
        </w:rPr>
        <w:t xml:space="preserve"> </w:t>
      </w:r>
      <w:r w:rsidRPr="00A6614D">
        <w:rPr>
          <w:rFonts w:ascii="mylotus" w:hAnsi="mylotus" w:hint="cs"/>
          <w:sz w:val="34"/>
          <w:szCs w:val="34"/>
          <w:rtl/>
        </w:rPr>
        <w:t>التكوينية</w:t>
      </w:r>
      <w:r w:rsidRPr="00A6614D">
        <w:rPr>
          <w:rFonts w:ascii="mylotus" w:hAnsi="mylotus"/>
          <w:sz w:val="34"/>
          <w:szCs w:val="34"/>
          <w:rtl/>
        </w:rPr>
        <w:t xml:space="preserve"> </w:t>
      </w:r>
      <w:r w:rsidRPr="00A6614D">
        <w:rPr>
          <w:rFonts w:ascii="mylotus" w:hAnsi="mylotus" w:hint="cs"/>
          <w:sz w:val="34"/>
          <w:szCs w:val="34"/>
          <w:rtl/>
        </w:rPr>
        <w:t>لا</w:t>
      </w:r>
      <w:r w:rsidR="00E752BC">
        <w:rPr>
          <w:rFonts w:ascii="mylotus" w:hAnsi="mylotus" w:hint="cs"/>
          <w:sz w:val="34"/>
          <w:szCs w:val="34"/>
          <w:rtl/>
        </w:rPr>
        <w:t xml:space="preserve"> </w:t>
      </w:r>
      <w:r w:rsidRPr="00A6614D">
        <w:rPr>
          <w:rFonts w:ascii="mylotus" w:hAnsi="mylotus" w:hint="cs"/>
          <w:sz w:val="34"/>
          <w:szCs w:val="34"/>
          <w:rtl/>
        </w:rPr>
        <w:t>يعقل</w:t>
      </w:r>
      <w:r w:rsidRPr="00A6614D">
        <w:rPr>
          <w:rFonts w:ascii="mylotus" w:hAnsi="mylotus"/>
          <w:sz w:val="34"/>
          <w:szCs w:val="34"/>
          <w:rtl/>
        </w:rPr>
        <w:t xml:space="preserve"> </w:t>
      </w:r>
      <w:r w:rsidRPr="00A6614D">
        <w:rPr>
          <w:rFonts w:ascii="mylotus" w:hAnsi="mylotus" w:hint="cs"/>
          <w:sz w:val="34"/>
          <w:szCs w:val="34"/>
          <w:rtl/>
        </w:rPr>
        <w:t>التسبب</w:t>
      </w:r>
      <w:r w:rsidRPr="00A6614D">
        <w:rPr>
          <w:rFonts w:ascii="mylotus" w:hAnsi="mylotus"/>
          <w:sz w:val="34"/>
          <w:szCs w:val="34"/>
          <w:rtl/>
        </w:rPr>
        <w:t xml:space="preserve"> </w:t>
      </w:r>
      <w:r w:rsidRPr="00A6614D">
        <w:rPr>
          <w:rFonts w:ascii="mylotus" w:hAnsi="mylotus" w:hint="cs"/>
          <w:sz w:val="34"/>
          <w:szCs w:val="34"/>
          <w:rtl/>
        </w:rPr>
        <w:t>لها</w:t>
      </w:r>
      <w:r w:rsidRPr="00A6614D">
        <w:rPr>
          <w:rFonts w:ascii="mylotus" w:hAnsi="mylotus"/>
          <w:sz w:val="34"/>
          <w:szCs w:val="34"/>
          <w:rtl/>
        </w:rPr>
        <w:t xml:space="preserve"> </w:t>
      </w:r>
      <w:r w:rsidRPr="00A6614D">
        <w:rPr>
          <w:rFonts w:ascii="mylotus" w:hAnsi="mylotus" w:hint="cs"/>
          <w:sz w:val="34"/>
          <w:szCs w:val="34"/>
          <w:rtl/>
        </w:rPr>
        <w:t>بالأمور</w:t>
      </w:r>
      <w:r w:rsidRPr="00A6614D">
        <w:rPr>
          <w:rFonts w:ascii="mylotus" w:hAnsi="mylotus"/>
          <w:sz w:val="34"/>
          <w:szCs w:val="34"/>
          <w:rtl/>
        </w:rPr>
        <w:t xml:space="preserve"> </w:t>
      </w:r>
      <w:r w:rsidRPr="00A6614D">
        <w:rPr>
          <w:rFonts w:ascii="mylotus" w:hAnsi="mylotus" w:hint="cs"/>
          <w:sz w:val="34"/>
          <w:szCs w:val="34"/>
          <w:rtl/>
        </w:rPr>
        <w:t>الإعتبارية</w:t>
      </w:r>
      <w:r w:rsidR="00E752BC">
        <w:rPr>
          <w:rFonts w:ascii="mylotus" w:hAnsi="mylotus" w:hint="cs"/>
          <w:sz w:val="34"/>
          <w:szCs w:val="34"/>
          <w:rtl/>
        </w:rPr>
        <w:t>.</w:t>
      </w:r>
    </w:p>
    <w:p w14:paraId="67B2C1E2" w14:textId="77777777" w:rsidR="00E752BC" w:rsidRDefault="00A6614D" w:rsidP="002E73E1">
      <w:pPr>
        <w:pStyle w:val="a0"/>
        <w:widowControl w:val="0"/>
        <w:bidi/>
        <w:spacing w:line="216" w:lineRule="auto"/>
        <w:rPr>
          <w:rFonts w:ascii="mylotus" w:hAnsi="mylotus"/>
          <w:sz w:val="34"/>
          <w:szCs w:val="34"/>
          <w:rtl/>
        </w:rPr>
      </w:pPr>
      <w:r w:rsidRPr="00E752BC">
        <w:rPr>
          <w:rFonts w:ascii="mylotus" w:hAnsi="mylotus"/>
          <w:b/>
          <w:bCs/>
          <w:sz w:val="34"/>
          <w:szCs w:val="34"/>
          <w:rtl/>
        </w:rPr>
        <w:t>وأما المحتمل الثاني</w:t>
      </w:r>
      <w:r w:rsidRPr="00A6614D">
        <w:rPr>
          <w:rFonts w:ascii="mylotus" w:hAnsi="mylotus"/>
          <w:sz w:val="34"/>
          <w:szCs w:val="34"/>
          <w:rtl/>
        </w:rPr>
        <w:t xml:space="preserve"> - وهو جواز التصرف في منافع العين تكليفاً ووضعاً، بإجارة أو صلح أو ما أشبه ذلك -</w:t>
      </w:r>
      <w:r w:rsidR="00E752BC">
        <w:rPr>
          <w:rFonts w:ascii="mylotus" w:hAnsi="mylotus" w:hint="cs"/>
          <w:sz w:val="34"/>
          <w:szCs w:val="34"/>
          <w:rtl/>
        </w:rPr>
        <w:t>:</w:t>
      </w:r>
      <w:r w:rsidRPr="00A6614D">
        <w:rPr>
          <w:rFonts w:ascii="mylotus" w:hAnsi="mylotus"/>
          <w:sz w:val="34"/>
          <w:szCs w:val="34"/>
          <w:rtl/>
        </w:rPr>
        <w:t xml:space="preserve"> فإنه مترتب</w:t>
      </w:r>
      <w:r w:rsidR="00E752BC">
        <w:rPr>
          <w:rFonts w:ascii="mylotus" w:hAnsi="mylotus" w:hint="cs"/>
          <w:sz w:val="34"/>
          <w:szCs w:val="34"/>
          <w:rtl/>
        </w:rPr>
        <w:t>ٌ</w:t>
      </w:r>
      <w:r w:rsidRPr="00A6614D">
        <w:rPr>
          <w:rFonts w:ascii="mylotus" w:hAnsi="mylotus"/>
          <w:sz w:val="34"/>
          <w:szCs w:val="34"/>
          <w:rtl/>
        </w:rPr>
        <w:t xml:space="preserve"> على صحة الإجارة، أي بعد فرض صحة الإجارة ونفوذها فالأثر المترتب </w:t>
      </w:r>
      <w:r w:rsidRPr="00A6614D">
        <w:rPr>
          <w:rFonts w:ascii="mylotus" w:hAnsi="mylotus"/>
          <w:sz w:val="34"/>
          <w:szCs w:val="34"/>
          <w:rtl/>
        </w:rPr>
        <w:lastRenderedPageBreak/>
        <w:t>على صحتها هو أن للم</w:t>
      </w:r>
      <w:r w:rsidR="00E752BC">
        <w:rPr>
          <w:rFonts w:ascii="mylotus" w:hAnsi="mylotus" w:hint="cs"/>
          <w:sz w:val="34"/>
          <w:szCs w:val="34"/>
          <w:rtl/>
        </w:rPr>
        <w:t>ُ</w:t>
      </w:r>
      <w:r w:rsidRPr="00A6614D">
        <w:rPr>
          <w:rFonts w:ascii="mylotus" w:hAnsi="mylotus"/>
          <w:sz w:val="34"/>
          <w:szCs w:val="34"/>
          <w:rtl/>
        </w:rPr>
        <w:t>ستأج</w:t>
      </w:r>
      <w:r w:rsidR="00E752BC">
        <w:rPr>
          <w:rFonts w:ascii="mylotus" w:hAnsi="mylotus" w:hint="cs"/>
          <w:sz w:val="34"/>
          <w:szCs w:val="34"/>
          <w:rtl/>
        </w:rPr>
        <w:t>ِ</w:t>
      </w:r>
      <w:r w:rsidRPr="00A6614D">
        <w:rPr>
          <w:rFonts w:ascii="mylotus" w:hAnsi="mylotus"/>
          <w:sz w:val="34"/>
          <w:szCs w:val="34"/>
          <w:rtl/>
        </w:rPr>
        <w:t>ر جواز التصرف في منافع العين تكليفاً ووضعاً، لا أنه المنشأ المعاملي بعقد الإجارة</w:t>
      </w:r>
      <w:r w:rsidRPr="00A6614D">
        <w:rPr>
          <w:rFonts w:ascii="mylotus" w:hAnsi="mylotus"/>
          <w:sz w:val="34"/>
          <w:szCs w:val="34"/>
        </w:rPr>
        <w:t>.</w:t>
      </w:r>
    </w:p>
    <w:p w14:paraId="0D6BD943" w14:textId="2819DF3A" w:rsidR="00E752BC" w:rsidRDefault="00A6614D" w:rsidP="002E73E1">
      <w:pPr>
        <w:pStyle w:val="a0"/>
        <w:widowControl w:val="0"/>
        <w:bidi/>
        <w:spacing w:line="216" w:lineRule="auto"/>
        <w:rPr>
          <w:rFonts w:ascii="mylotus" w:hAnsi="mylotus"/>
          <w:sz w:val="34"/>
          <w:szCs w:val="34"/>
          <w:rtl/>
        </w:rPr>
      </w:pPr>
      <w:r w:rsidRPr="00E752BC">
        <w:rPr>
          <w:rFonts w:ascii="mylotus" w:hAnsi="mylotus"/>
          <w:b/>
          <w:bCs/>
          <w:sz w:val="34"/>
          <w:szCs w:val="34"/>
          <w:rtl/>
        </w:rPr>
        <w:t>وأما المحتمل الثالث</w:t>
      </w:r>
      <w:r w:rsidRPr="00A6614D">
        <w:rPr>
          <w:rFonts w:ascii="mylotus" w:hAnsi="mylotus"/>
          <w:sz w:val="34"/>
          <w:szCs w:val="34"/>
          <w:rtl/>
        </w:rPr>
        <w:t xml:space="preserve"> - وهو السلطنة الاعتبارية</w:t>
      </w:r>
      <w:r w:rsidR="00A80C28">
        <w:rPr>
          <w:rFonts w:ascii="mylotus" w:hAnsi="mylotus" w:hint="cs"/>
          <w:sz w:val="34"/>
          <w:szCs w:val="34"/>
          <w:rtl/>
        </w:rPr>
        <w:t xml:space="preserve"> -</w:t>
      </w:r>
      <w:r w:rsidRPr="00A6614D">
        <w:rPr>
          <w:rFonts w:ascii="mylotus" w:hAnsi="mylotus"/>
          <w:sz w:val="34"/>
          <w:szCs w:val="34"/>
          <w:rtl/>
        </w:rPr>
        <w:t xml:space="preserve"> فيلاحظ عليه: أنه هل المراد بهذه السلطنة ال</w:t>
      </w:r>
      <w:r w:rsidR="00E752BC">
        <w:rPr>
          <w:rFonts w:ascii="mylotus" w:hAnsi="mylotus" w:hint="cs"/>
          <w:sz w:val="34"/>
          <w:szCs w:val="34"/>
          <w:rtl/>
        </w:rPr>
        <w:t>إ</w:t>
      </w:r>
      <w:r w:rsidRPr="00A6614D">
        <w:rPr>
          <w:rFonts w:ascii="mylotus" w:hAnsi="mylotus"/>
          <w:sz w:val="34"/>
          <w:szCs w:val="34"/>
          <w:rtl/>
        </w:rPr>
        <w:t>حاطة بالعين بتمام منافعها؟ أم القدرة على التصرف في المنافع بنحو من الأنحاء؟ فإن أريد بها الإحاطة بالعين بتمام منافعها فهذا عين الملكية، إذ ليست الملكية في وعاء الاعتبار العقلائي إلا الإحاطة بالعين بتمام منافعها.</w:t>
      </w:r>
    </w:p>
    <w:p w14:paraId="3D890DE1" w14:textId="77777777" w:rsidR="00E752BC" w:rsidRDefault="00A6614D" w:rsidP="002E73E1">
      <w:pPr>
        <w:pStyle w:val="a0"/>
        <w:widowControl w:val="0"/>
        <w:bidi/>
        <w:spacing w:line="216" w:lineRule="auto"/>
        <w:rPr>
          <w:rFonts w:ascii="mylotus" w:hAnsi="mylotus"/>
          <w:sz w:val="34"/>
          <w:szCs w:val="34"/>
          <w:rtl/>
        </w:rPr>
      </w:pPr>
      <w:r w:rsidRPr="00A6614D">
        <w:rPr>
          <w:rFonts w:ascii="mylotus" w:hAnsi="mylotus"/>
          <w:sz w:val="34"/>
          <w:szCs w:val="34"/>
          <w:rtl/>
        </w:rPr>
        <w:t>وإن أريد بالسلطنة الممنوحة القدرة على التصرف في منافع العين بنحو من أنحاء التصرف، فليس لمالك العين نفسه هذه السلطنة وراء ملكيته للعين وجواز التصرف فيها تكليفاً ووضعاً، إذ أن من ملك العين ملك جواز التصرف فيها تكليفاً ووضعاً، ولا</w:t>
      </w:r>
      <w:r w:rsidR="00E752BC">
        <w:rPr>
          <w:rFonts w:ascii="mylotus" w:hAnsi="mylotus" w:hint="cs"/>
          <w:sz w:val="34"/>
          <w:szCs w:val="34"/>
          <w:rtl/>
        </w:rPr>
        <w:t xml:space="preserve"> </w:t>
      </w:r>
      <w:r w:rsidRPr="00A6614D">
        <w:rPr>
          <w:rFonts w:ascii="mylotus" w:hAnsi="mylotus"/>
          <w:sz w:val="34"/>
          <w:szCs w:val="34"/>
          <w:rtl/>
        </w:rPr>
        <w:t>معنى مع ذلك لثبوت نحو آخر من السلطنة له كي يتصدى لمنحه للمستأجر.</w:t>
      </w:r>
    </w:p>
    <w:p w14:paraId="4453F033" w14:textId="77777777" w:rsidR="00E752BC" w:rsidRDefault="00A6614D" w:rsidP="002E73E1">
      <w:pPr>
        <w:pStyle w:val="a0"/>
        <w:widowControl w:val="0"/>
        <w:bidi/>
        <w:spacing w:line="216" w:lineRule="auto"/>
        <w:rPr>
          <w:rFonts w:ascii="mylotus" w:hAnsi="mylotus"/>
          <w:sz w:val="34"/>
          <w:szCs w:val="34"/>
          <w:rtl/>
        </w:rPr>
      </w:pPr>
      <w:r w:rsidRPr="00A6614D">
        <w:rPr>
          <w:rFonts w:ascii="mylotus" w:hAnsi="mylotus"/>
          <w:sz w:val="34"/>
          <w:szCs w:val="34"/>
          <w:rtl/>
        </w:rPr>
        <w:t>فما يتوهم من سلطنة أخرى غير جواز التصرف تكليفاً ووضعاً لم يثبت لمالك العين كي يقوم بتمليكه أو منحه للمستأجر</w:t>
      </w:r>
      <w:r w:rsidRPr="00A6614D">
        <w:rPr>
          <w:rFonts w:ascii="mylotus" w:hAnsi="mylotus"/>
          <w:sz w:val="34"/>
          <w:szCs w:val="34"/>
        </w:rPr>
        <w:t>.</w:t>
      </w:r>
    </w:p>
    <w:p w14:paraId="7986AFE3" w14:textId="77777777" w:rsidR="00E752BC" w:rsidRDefault="00A6614D" w:rsidP="002E73E1">
      <w:pPr>
        <w:pStyle w:val="a0"/>
        <w:widowControl w:val="0"/>
        <w:bidi/>
        <w:spacing w:line="216" w:lineRule="auto"/>
        <w:rPr>
          <w:rFonts w:ascii="mylotus" w:hAnsi="mylotus"/>
          <w:sz w:val="34"/>
          <w:szCs w:val="34"/>
          <w:rtl/>
        </w:rPr>
      </w:pPr>
      <w:r w:rsidRPr="00E752BC">
        <w:rPr>
          <w:rFonts w:ascii="mylotus" w:hAnsi="mylotus"/>
          <w:b/>
          <w:bCs/>
          <w:sz w:val="34"/>
          <w:szCs w:val="34"/>
          <w:rtl/>
        </w:rPr>
        <w:t>فالنتيجة:</w:t>
      </w:r>
      <w:r w:rsidRPr="00A6614D">
        <w:rPr>
          <w:rFonts w:ascii="mylotus" w:hAnsi="mylotus"/>
          <w:sz w:val="34"/>
          <w:szCs w:val="34"/>
          <w:rtl/>
        </w:rPr>
        <w:t xml:space="preserve"> أن جميع المحتملات للسلطنة في المقام مما لا يمكن أن يقال بأنها هي المنشأ المعاملي لعقد الإجارة</w:t>
      </w:r>
      <w:r w:rsidRPr="00A6614D">
        <w:rPr>
          <w:rFonts w:ascii="mylotus" w:hAnsi="mylotus"/>
          <w:sz w:val="34"/>
          <w:szCs w:val="34"/>
        </w:rPr>
        <w:t>.</w:t>
      </w:r>
    </w:p>
    <w:p w14:paraId="48F1B930" w14:textId="2C243D23" w:rsidR="00A6614D" w:rsidRDefault="00A6614D" w:rsidP="002E73E1">
      <w:pPr>
        <w:pStyle w:val="a0"/>
        <w:widowControl w:val="0"/>
        <w:bidi/>
        <w:spacing w:line="216" w:lineRule="auto"/>
        <w:rPr>
          <w:rFonts w:ascii="mylotus" w:hAnsi="mylotus"/>
          <w:sz w:val="34"/>
          <w:szCs w:val="34"/>
          <w:rtl/>
        </w:rPr>
      </w:pPr>
      <w:r w:rsidRPr="00A6614D">
        <w:rPr>
          <w:rFonts w:ascii="mylotus" w:hAnsi="mylotus"/>
          <w:sz w:val="34"/>
          <w:szCs w:val="34"/>
          <w:rtl/>
        </w:rPr>
        <w:t xml:space="preserve">وتبعه في هذا الإشكال سيدنا الخوئي قدس سره </w:t>
      </w:r>
      <w:r w:rsidR="00E752BC">
        <w:rPr>
          <w:rFonts w:ascii="mylotus" w:hAnsi="mylotus" w:hint="cs"/>
          <w:sz w:val="34"/>
          <w:szCs w:val="34"/>
          <w:rtl/>
        </w:rPr>
        <w:t xml:space="preserve">الشريف </w:t>
      </w:r>
      <w:r w:rsidRPr="00A6614D">
        <w:rPr>
          <w:rFonts w:ascii="mylotus" w:hAnsi="mylotus"/>
          <w:sz w:val="34"/>
          <w:szCs w:val="34"/>
          <w:rtl/>
        </w:rPr>
        <w:t>[</w:t>
      </w:r>
      <w:r w:rsidR="00E752BC">
        <w:rPr>
          <w:rFonts w:ascii="mylotus" w:hAnsi="mylotus" w:hint="cs"/>
          <w:sz w:val="34"/>
          <w:szCs w:val="34"/>
          <w:rtl/>
        </w:rPr>
        <w:t xml:space="preserve">في موسوعته </w:t>
      </w:r>
      <w:r w:rsidRPr="00A6614D">
        <w:rPr>
          <w:rFonts w:ascii="mylotus" w:hAnsi="mylotus"/>
          <w:sz w:val="34"/>
          <w:szCs w:val="34"/>
          <w:rtl/>
        </w:rPr>
        <w:t xml:space="preserve">ج30 </w:t>
      </w:r>
      <w:r w:rsidR="00E752BC">
        <w:rPr>
          <w:rFonts w:ascii="mylotus" w:hAnsi="mylotus" w:hint="cs"/>
          <w:sz w:val="34"/>
          <w:szCs w:val="34"/>
          <w:rtl/>
        </w:rPr>
        <w:t xml:space="preserve">كتاب الإجارة </w:t>
      </w:r>
      <w:r w:rsidRPr="00A6614D">
        <w:rPr>
          <w:rFonts w:ascii="mylotus" w:hAnsi="mylotus"/>
          <w:sz w:val="34"/>
          <w:szCs w:val="34"/>
          <w:rtl/>
        </w:rPr>
        <w:t>ص9]</w:t>
      </w:r>
      <w:r w:rsidR="00E752BC">
        <w:rPr>
          <w:rFonts w:ascii="mylotus" w:hAnsi="mylotus" w:hint="cs"/>
          <w:sz w:val="34"/>
          <w:szCs w:val="34"/>
          <w:rtl/>
        </w:rPr>
        <w:t>،</w:t>
      </w:r>
      <w:r w:rsidRPr="00A6614D">
        <w:rPr>
          <w:rFonts w:ascii="mylotus" w:hAnsi="mylotus"/>
          <w:sz w:val="34"/>
          <w:szCs w:val="34"/>
          <w:rtl/>
        </w:rPr>
        <w:t xml:space="preserve"> وبعض الأعلام </w:t>
      </w:r>
      <w:r w:rsidR="00E752BC">
        <w:rPr>
          <w:rFonts w:ascii="mylotus" w:hAnsi="mylotus" w:hint="cs"/>
          <w:sz w:val="34"/>
          <w:szCs w:val="34"/>
          <w:rtl/>
        </w:rPr>
        <w:t xml:space="preserve">رحمه الله </w:t>
      </w:r>
      <w:r w:rsidRPr="00A6614D">
        <w:rPr>
          <w:rFonts w:ascii="mylotus" w:hAnsi="mylotus"/>
          <w:sz w:val="34"/>
          <w:szCs w:val="34"/>
          <w:rtl/>
        </w:rPr>
        <w:t>[في كتاب الإجارة ص 20</w:t>
      </w:r>
      <w:r w:rsidR="00E752BC">
        <w:rPr>
          <w:rFonts w:ascii="mylotus" w:hAnsi="mylotus" w:hint="cs"/>
          <w:sz w:val="34"/>
          <w:szCs w:val="34"/>
          <w:rtl/>
        </w:rPr>
        <w:t>].</w:t>
      </w:r>
    </w:p>
    <w:p w14:paraId="43A0198D" w14:textId="77777777" w:rsidR="00A80C28" w:rsidRPr="00A6614D" w:rsidRDefault="00A80C28" w:rsidP="002E73E1">
      <w:pPr>
        <w:pStyle w:val="a0"/>
        <w:widowControl w:val="0"/>
        <w:bidi/>
        <w:spacing w:line="216" w:lineRule="auto"/>
        <w:rPr>
          <w:rFonts w:ascii="mylotus" w:hAnsi="mylotus"/>
          <w:sz w:val="34"/>
          <w:szCs w:val="34"/>
          <w:rtl/>
        </w:rPr>
      </w:pPr>
    </w:p>
    <w:p w14:paraId="2D24CFF0" w14:textId="2ADFA527" w:rsidR="001F034F" w:rsidRPr="005F7776" w:rsidRDefault="00E706A4" w:rsidP="009E02B7">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9A31D0">
      <w:headerReference w:type="default" r:id="rId9"/>
      <w:footerReference w:type="default" r:id="rId10"/>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515E52" w14:textId="77777777" w:rsidR="0070172A" w:rsidRDefault="0070172A" w:rsidP="00A5027D">
      <w:pPr>
        <w:spacing w:line="240" w:lineRule="auto"/>
      </w:pPr>
      <w:r>
        <w:separator/>
      </w:r>
    </w:p>
  </w:endnote>
  <w:endnote w:type="continuationSeparator" w:id="0">
    <w:p w14:paraId="2CE40C9D" w14:textId="77777777" w:rsidR="0070172A" w:rsidRDefault="0070172A"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187EF7" w:rsidRPr="00187EF7">
          <w:rPr>
            <w:rFonts w:ascii="mylotus" w:hAnsi="mylotus" w:cs="mylotus"/>
            <w:noProof/>
            <w:color w:val="FF0000"/>
            <w:sz w:val="24"/>
            <w:szCs w:val="24"/>
            <w:rtl/>
            <w:lang w:val="ar-SA"/>
          </w:rPr>
          <w:t>5</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22132C" w14:textId="77777777" w:rsidR="0070172A" w:rsidRDefault="0070172A" w:rsidP="00A5027D">
      <w:pPr>
        <w:spacing w:line="240" w:lineRule="auto"/>
      </w:pPr>
      <w:r>
        <w:separator/>
      </w:r>
    </w:p>
  </w:footnote>
  <w:footnote w:type="continuationSeparator" w:id="0">
    <w:p w14:paraId="5C995F03" w14:textId="77777777" w:rsidR="0070172A" w:rsidRDefault="0070172A"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04AA51E3" w:rsidR="00B07F43" w:rsidRPr="005F7776" w:rsidRDefault="00B07F43" w:rsidP="008866E4">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3360"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786C0C6" id="رابط مستقيم 1" o:spid="_x0000_s1026" style="position:absolute;flip:x;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E752BC">
      <w:rPr>
        <w:rFonts w:ascii="mylotus" w:hAnsi="mylotus" w:cs="mylotus" w:hint="cs"/>
        <w:color w:val="FF0000"/>
        <w:sz w:val="26"/>
        <w:szCs w:val="26"/>
        <w:rtl/>
      </w:rPr>
      <w:t>14</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A80C28">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E752BC">
      <w:rPr>
        <w:rFonts w:ascii="mylotus" w:hAnsi="mylotus" w:cs="mylotus" w:hint="cs"/>
        <w:color w:val="FF0000"/>
        <w:sz w:val="26"/>
        <w:szCs w:val="26"/>
        <w:rtl/>
      </w:rPr>
      <w:t>الثلاثاء</w:t>
    </w:r>
    <w:r w:rsidR="00A80C28">
      <w:rPr>
        <w:rFonts w:ascii="mylotus" w:hAnsi="mylotus" w:cs="mylotus" w:hint="cs"/>
        <w:color w:val="FF0000"/>
        <w:sz w:val="26"/>
        <w:szCs w:val="26"/>
        <w:rtl/>
      </w:rPr>
      <w:t xml:space="preserve"> </w:t>
    </w:r>
    <w:r w:rsidR="00E752BC">
      <w:rPr>
        <w:rFonts w:ascii="mylotus" w:hAnsi="mylotus" w:cs="mylotus" w:hint="cs"/>
        <w:color w:val="FF0000"/>
        <w:sz w:val="26"/>
        <w:szCs w:val="26"/>
        <w:rtl/>
      </w:rPr>
      <w:t>18</w:t>
    </w:r>
    <w:r w:rsidR="00AE3EA6">
      <w:rPr>
        <w:rFonts w:ascii="mylotus" w:hAnsi="mylotus" w:cs="mylotus"/>
        <w:color w:val="FF0000"/>
        <w:sz w:val="26"/>
        <w:szCs w:val="26"/>
        <w:rtl/>
      </w:rPr>
      <w:t xml:space="preserve"> </w:t>
    </w:r>
    <w:r w:rsidR="00AE3EA6">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r w:rsidR="00A80C28">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894BDB"/>
    <w:multiLevelType w:val="hybridMultilevel"/>
    <w:tmpl w:val="6D2486D2"/>
    <w:lvl w:ilvl="0" w:tplc="BA40D016">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760A1"/>
    <w:rsid w:val="00085C01"/>
    <w:rsid w:val="000868A0"/>
    <w:rsid w:val="000918B8"/>
    <w:rsid w:val="000A4D5C"/>
    <w:rsid w:val="000C2631"/>
    <w:rsid w:val="000F2D22"/>
    <w:rsid w:val="00102391"/>
    <w:rsid w:val="00104288"/>
    <w:rsid w:val="00126819"/>
    <w:rsid w:val="001700E2"/>
    <w:rsid w:val="00170A4A"/>
    <w:rsid w:val="001845C7"/>
    <w:rsid w:val="0018506F"/>
    <w:rsid w:val="00185896"/>
    <w:rsid w:val="00187EF7"/>
    <w:rsid w:val="00190CDF"/>
    <w:rsid w:val="001B36AE"/>
    <w:rsid w:val="001B7AAB"/>
    <w:rsid w:val="001D1233"/>
    <w:rsid w:val="001D2C21"/>
    <w:rsid w:val="001D40F0"/>
    <w:rsid w:val="001F034F"/>
    <w:rsid w:val="002220AA"/>
    <w:rsid w:val="00225C1C"/>
    <w:rsid w:val="002339F1"/>
    <w:rsid w:val="002438AD"/>
    <w:rsid w:val="0024499D"/>
    <w:rsid w:val="00246BAF"/>
    <w:rsid w:val="002530E6"/>
    <w:rsid w:val="00257474"/>
    <w:rsid w:val="002607B0"/>
    <w:rsid w:val="00261BAB"/>
    <w:rsid w:val="00283ED3"/>
    <w:rsid w:val="00294D72"/>
    <w:rsid w:val="002A79FA"/>
    <w:rsid w:val="002B4E62"/>
    <w:rsid w:val="002B5064"/>
    <w:rsid w:val="002C3704"/>
    <w:rsid w:val="002D0D9E"/>
    <w:rsid w:val="002D2D63"/>
    <w:rsid w:val="002D3FD8"/>
    <w:rsid w:val="002D6F6F"/>
    <w:rsid w:val="002E73E1"/>
    <w:rsid w:val="002F0709"/>
    <w:rsid w:val="002F1501"/>
    <w:rsid w:val="00316628"/>
    <w:rsid w:val="003228E8"/>
    <w:rsid w:val="00331615"/>
    <w:rsid w:val="00341791"/>
    <w:rsid w:val="00344D3D"/>
    <w:rsid w:val="0035443E"/>
    <w:rsid w:val="0035715B"/>
    <w:rsid w:val="00384EBF"/>
    <w:rsid w:val="003A4C77"/>
    <w:rsid w:val="003C27B3"/>
    <w:rsid w:val="003C5C22"/>
    <w:rsid w:val="003E28FC"/>
    <w:rsid w:val="003F4BEF"/>
    <w:rsid w:val="00402155"/>
    <w:rsid w:val="00416FF8"/>
    <w:rsid w:val="00417B1F"/>
    <w:rsid w:val="00426274"/>
    <w:rsid w:val="004331E6"/>
    <w:rsid w:val="00434EF0"/>
    <w:rsid w:val="004417B4"/>
    <w:rsid w:val="00444116"/>
    <w:rsid w:val="004713E0"/>
    <w:rsid w:val="00487DED"/>
    <w:rsid w:val="004B03A0"/>
    <w:rsid w:val="004B14A5"/>
    <w:rsid w:val="004B76A6"/>
    <w:rsid w:val="004C2054"/>
    <w:rsid w:val="004D341B"/>
    <w:rsid w:val="004D6F7D"/>
    <w:rsid w:val="004F02A1"/>
    <w:rsid w:val="004F34F1"/>
    <w:rsid w:val="0050790C"/>
    <w:rsid w:val="0051676D"/>
    <w:rsid w:val="00524E83"/>
    <w:rsid w:val="005365F6"/>
    <w:rsid w:val="00560065"/>
    <w:rsid w:val="0058437E"/>
    <w:rsid w:val="00591778"/>
    <w:rsid w:val="00595632"/>
    <w:rsid w:val="005A573C"/>
    <w:rsid w:val="005C50BD"/>
    <w:rsid w:val="005D1880"/>
    <w:rsid w:val="005D3B52"/>
    <w:rsid w:val="005F0F6F"/>
    <w:rsid w:val="005F70FF"/>
    <w:rsid w:val="005F7776"/>
    <w:rsid w:val="0060278A"/>
    <w:rsid w:val="00612084"/>
    <w:rsid w:val="00622C80"/>
    <w:rsid w:val="006254BE"/>
    <w:rsid w:val="006333B1"/>
    <w:rsid w:val="00646A5D"/>
    <w:rsid w:val="006473E7"/>
    <w:rsid w:val="00652CA2"/>
    <w:rsid w:val="0067710E"/>
    <w:rsid w:val="00691A66"/>
    <w:rsid w:val="00694C4A"/>
    <w:rsid w:val="00696BDC"/>
    <w:rsid w:val="006A3CD3"/>
    <w:rsid w:val="006C341E"/>
    <w:rsid w:val="006C6C7F"/>
    <w:rsid w:val="006D031B"/>
    <w:rsid w:val="006D0642"/>
    <w:rsid w:val="006D6E7E"/>
    <w:rsid w:val="006E1B18"/>
    <w:rsid w:val="006F6650"/>
    <w:rsid w:val="00700C70"/>
    <w:rsid w:val="00701077"/>
    <w:rsid w:val="0070172A"/>
    <w:rsid w:val="00701E4F"/>
    <w:rsid w:val="007237A9"/>
    <w:rsid w:val="007310D4"/>
    <w:rsid w:val="00740CF8"/>
    <w:rsid w:val="00753B14"/>
    <w:rsid w:val="0076539C"/>
    <w:rsid w:val="00776E98"/>
    <w:rsid w:val="00781258"/>
    <w:rsid w:val="00791C2B"/>
    <w:rsid w:val="007926E8"/>
    <w:rsid w:val="007A123B"/>
    <w:rsid w:val="007A1A5D"/>
    <w:rsid w:val="007A59E2"/>
    <w:rsid w:val="007B25DF"/>
    <w:rsid w:val="007D0826"/>
    <w:rsid w:val="007D2646"/>
    <w:rsid w:val="007D2DF4"/>
    <w:rsid w:val="007D3C58"/>
    <w:rsid w:val="007D6129"/>
    <w:rsid w:val="007F2A1F"/>
    <w:rsid w:val="00836BC1"/>
    <w:rsid w:val="008434A0"/>
    <w:rsid w:val="00850894"/>
    <w:rsid w:val="00886478"/>
    <w:rsid w:val="008866E4"/>
    <w:rsid w:val="00894564"/>
    <w:rsid w:val="00895528"/>
    <w:rsid w:val="008A7669"/>
    <w:rsid w:val="008B2BF2"/>
    <w:rsid w:val="008B5A1B"/>
    <w:rsid w:val="008B6C9C"/>
    <w:rsid w:val="008C18BC"/>
    <w:rsid w:val="008C28F6"/>
    <w:rsid w:val="008C2CF3"/>
    <w:rsid w:val="008C59F7"/>
    <w:rsid w:val="008D0522"/>
    <w:rsid w:val="008D1AF3"/>
    <w:rsid w:val="008D2DBE"/>
    <w:rsid w:val="008E10C9"/>
    <w:rsid w:val="009076DD"/>
    <w:rsid w:val="009153E5"/>
    <w:rsid w:val="00917642"/>
    <w:rsid w:val="00946D46"/>
    <w:rsid w:val="00950CF6"/>
    <w:rsid w:val="00952DCA"/>
    <w:rsid w:val="0095312D"/>
    <w:rsid w:val="00963C62"/>
    <w:rsid w:val="00964B73"/>
    <w:rsid w:val="0096623A"/>
    <w:rsid w:val="0097647D"/>
    <w:rsid w:val="0098687C"/>
    <w:rsid w:val="009876B1"/>
    <w:rsid w:val="00994D9F"/>
    <w:rsid w:val="009954B5"/>
    <w:rsid w:val="009A31D0"/>
    <w:rsid w:val="009B1550"/>
    <w:rsid w:val="009C701E"/>
    <w:rsid w:val="009D7D48"/>
    <w:rsid w:val="009E02B7"/>
    <w:rsid w:val="009E5EBF"/>
    <w:rsid w:val="009E651D"/>
    <w:rsid w:val="009F4BE3"/>
    <w:rsid w:val="00A04BE3"/>
    <w:rsid w:val="00A0527F"/>
    <w:rsid w:val="00A06115"/>
    <w:rsid w:val="00A1068D"/>
    <w:rsid w:val="00A162A4"/>
    <w:rsid w:val="00A27FD2"/>
    <w:rsid w:val="00A43232"/>
    <w:rsid w:val="00A439DB"/>
    <w:rsid w:val="00A5027D"/>
    <w:rsid w:val="00A50831"/>
    <w:rsid w:val="00A50AD3"/>
    <w:rsid w:val="00A53B73"/>
    <w:rsid w:val="00A53FEA"/>
    <w:rsid w:val="00A6614D"/>
    <w:rsid w:val="00A66546"/>
    <w:rsid w:val="00A80C28"/>
    <w:rsid w:val="00A92C34"/>
    <w:rsid w:val="00A932D7"/>
    <w:rsid w:val="00AA74E6"/>
    <w:rsid w:val="00AB0BF9"/>
    <w:rsid w:val="00AB2506"/>
    <w:rsid w:val="00AB4593"/>
    <w:rsid w:val="00AC0335"/>
    <w:rsid w:val="00AC2737"/>
    <w:rsid w:val="00AE3EA6"/>
    <w:rsid w:val="00AF658D"/>
    <w:rsid w:val="00B0167F"/>
    <w:rsid w:val="00B05107"/>
    <w:rsid w:val="00B05627"/>
    <w:rsid w:val="00B07F43"/>
    <w:rsid w:val="00B148FC"/>
    <w:rsid w:val="00B15C12"/>
    <w:rsid w:val="00B24C0B"/>
    <w:rsid w:val="00B27FD9"/>
    <w:rsid w:val="00B42E19"/>
    <w:rsid w:val="00B44892"/>
    <w:rsid w:val="00B4551F"/>
    <w:rsid w:val="00B54B20"/>
    <w:rsid w:val="00B54E99"/>
    <w:rsid w:val="00B65C14"/>
    <w:rsid w:val="00B70A67"/>
    <w:rsid w:val="00B70D67"/>
    <w:rsid w:val="00B77EC8"/>
    <w:rsid w:val="00B81EB8"/>
    <w:rsid w:val="00B87CBD"/>
    <w:rsid w:val="00B96BED"/>
    <w:rsid w:val="00BA53AA"/>
    <w:rsid w:val="00BB1CD3"/>
    <w:rsid w:val="00BC6D54"/>
    <w:rsid w:val="00BD2206"/>
    <w:rsid w:val="00BD26E3"/>
    <w:rsid w:val="00BD7A64"/>
    <w:rsid w:val="00BF04B6"/>
    <w:rsid w:val="00BF0852"/>
    <w:rsid w:val="00C017CB"/>
    <w:rsid w:val="00C02079"/>
    <w:rsid w:val="00C22646"/>
    <w:rsid w:val="00C3133B"/>
    <w:rsid w:val="00C320FE"/>
    <w:rsid w:val="00C51A22"/>
    <w:rsid w:val="00C57BF1"/>
    <w:rsid w:val="00C705EB"/>
    <w:rsid w:val="00C72348"/>
    <w:rsid w:val="00C73ABF"/>
    <w:rsid w:val="00C83005"/>
    <w:rsid w:val="00C90D23"/>
    <w:rsid w:val="00C96172"/>
    <w:rsid w:val="00C9737F"/>
    <w:rsid w:val="00C97837"/>
    <w:rsid w:val="00CA2B63"/>
    <w:rsid w:val="00CB1F7A"/>
    <w:rsid w:val="00CB5F23"/>
    <w:rsid w:val="00CC72D7"/>
    <w:rsid w:val="00CD29C9"/>
    <w:rsid w:val="00CD4C3D"/>
    <w:rsid w:val="00CD650B"/>
    <w:rsid w:val="00CE6FAD"/>
    <w:rsid w:val="00CF60B7"/>
    <w:rsid w:val="00D05950"/>
    <w:rsid w:val="00D063E2"/>
    <w:rsid w:val="00D12BC7"/>
    <w:rsid w:val="00D31E52"/>
    <w:rsid w:val="00D411AE"/>
    <w:rsid w:val="00D83D98"/>
    <w:rsid w:val="00D84C80"/>
    <w:rsid w:val="00D906DC"/>
    <w:rsid w:val="00D965CE"/>
    <w:rsid w:val="00DA0B26"/>
    <w:rsid w:val="00DA3887"/>
    <w:rsid w:val="00DA7AC6"/>
    <w:rsid w:val="00DB1F3D"/>
    <w:rsid w:val="00DC2E5B"/>
    <w:rsid w:val="00DD08B6"/>
    <w:rsid w:val="00DF0E53"/>
    <w:rsid w:val="00DF1A38"/>
    <w:rsid w:val="00DF2071"/>
    <w:rsid w:val="00E162D3"/>
    <w:rsid w:val="00E20D9C"/>
    <w:rsid w:val="00E37303"/>
    <w:rsid w:val="00E50090"/>
    <w:rsid w:val="00E5678F"/>
    <w:rsid w:val="00E567DE"/>
    <w:rsid w:val="00E5752F"/>
    <w:rsid w:val="00E62F33"/>
    <w:rsid w:val="00E6586D"/>
    <w:rsid w:val="00E706A4"/>
    <w:rsid w:val="00E73CE3"/>
    <w:rsid w:val="00E7460D"/>
    <w:rsid w:val="00E752BC"/>
    <w:rsid w:val="00E77E4B"/>
    <w:rsid w:val="00E80680"/>
    <w:rsid w:val="00E86261"/>
    <w:rsid w:val="00E91C1E"/>
    <w:rsid w:val="00E925D2"/>
    <w:rsid w:val="00E97C1C"/>
    <w:rsid w:val="00EB313E"/>
    <w:rsid w:val="00EC0098"/>
    <w:rsid w:val="00EC2D5F"/>
    <w:rsid w:val="00EC72E4"/>
    <w:rsid w:val="00ED27C3"/>
    <w:rsid w:val="00ED7012"/>
    <w:rsid w:val="00EF13A8"/>
    <w:rsid w:val="00EF3ECC"/>
    <w:rsid w:val="00EF4A02"/>
    <w:rsid w:val="00EF4E74"/>
    <w:rsid w:val="00F03EE5"/>
    <w:rsid w:val="00F102E2"/>
    <w:rsid w:val="00F13ED3"/>
    <w:rsid w:val="00F16862"/>
    <w:rsid w:val="00F2232F"/>
    <w:rsid w:val="00F24EC7"/>
    <w:rsid w:val="00F31F05"/>
    <w:rsid w:val="00F52DC7"/>
    <w:rsid w:val="00F6280E"/>
    <w:rsid w:val="00F6536F"/>
    <w:rsid w:val="00F72F28"/>
    <w:rsid w:val="00F760D6"/>
    <w:rsid w:val="00F76336"/>
    <w:rsid w:val="00F83D13"/>
    <w:rsid w:val="00F9000E"/>
    <w:rsid w:val="00FB2461"/>
    <w:rsid w:val="00FB61E8"/>
    <w:rsid w:val="00FB79AF"/>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customStyle="1" w:styleId="kalamatekhas">
    <w:name w:val="kalamatekhas"/>
    <w:basedOn w:val="a1"/>
    <w:rsid w:val="004F34F1"/>
  </w:style>
  <w:style w:type="character" w:customStyle="1" w:styleId="index">
    <w:name w:val="index"/>
    <w:basedOn w:val="a1"/>
    <w:rsid w:val="004F02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customStyle="1" w:styleId="kalamatekhas">
    <w:name w:val="kalamatekhas"/>
    <w:basedOn w:val="a1"/>
    <w:rsid w:val="004F34F1"/>
  </w:style>
  <w:style w:type="character" w:customStyle="1" w:styleId="index">
    <w:name w:val="index"/>
    <w:basedOn w:val="a1"/>
    <w:rsid w:val="004F0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786FB-02DE-41B6-B94D-973BBBCC3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8</TotalTime>
  <Pages>5</Pages>
  <Words>1300</Words>
  <Characters>7412</Characters>
  <Application>Microsoft Office Word</Application>
  <DocSecurity>0</DocSecurity>
  <Lines>61</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Enjoy My Fine Releases.</Company>
  <LinksUpToDate>false</LinksUpToDate>
  <CharactersWithSpaces>8695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5</cp:revision>
  <cp:lastPrinted>2024-01-30T16:49:00Z</cp:lastPrinted>
  <dcterms:created xsi:type="dcterms:W3CDTF">2024-01-30T16:48:00Z</dcterms:created>
  <dcterms:modified xsi:type="dcterms:W3CDTF">2024-01-30T19:29:00Z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d7a816871fbf536fc99fcf3c73215f9cfa2a70ae7c002dbd60b4ed7c17d5ba91</vt:lpwstr>
  </property>
</Properties>
</file>