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6F197D21" w14:textId="77777777" w:rsidR="00436745" w:rsidRDefault="00AC2737" w:rsidP="00436745">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8220BF2" w14:textId="77777777" w:rsidR="00436745" w:rsidRDefault="00436745" w:rsidP="00436745">
      <w:pPr>
        <w:pStyle w:val="a0"/>
        <w:bidi/>
        <w:spacing w:line="216" w:lineRule="auto"/>
        <w:jc w:val="center"/>
        <w:rPr>
          <w:rFonts w:ascii="mylotus" w:hAnsi="mylotus"/>
          <w:sz w:val="34"/>
          <w:szCs w:val="34"/>
        </w:rPr>
      </w:pPr>
    </w:p>
    <w:p w14:paraId="2AB5C1DB" w14:textId="00C1ED50" w:rsidR="00FD750B" w:rsidRDefault="00FD750B" w:rsidP="00FD750B">
      <w:pPr>
        <w:pStyle w:val="a0"/>
        <w:bidi/>
        <w:spacing w:line="216" w:lineRule="auto"/>
        <w:rPr>
          <w:rFonts w:ascii="mylotus" w:hAnsi="mylotus"/>
          <w:sz w:val="34"/>
          <w:szCs w:val="34"/>
          <w:rtl/>
        </w:rPr>
      </w:pPr>
      <w:r w:rsidRPr="008A6A7D">
        <w:rPr>
          <w:rFonts w:ascii="mylotus" w:hAnsi="mylotus"/>
          <w:b/>
          <w:bCs/>
          <w:sz w:val="34"/>
          <w:szCs w:val="34"/>
          <w:rtl/>
        </w:rPr>
        <w:t>الجهة الثانية - في تعريف الإجارة بأنها المبادلة على الانتفاع -</w:t>
      </w:r>
      <w:r w:rsidR="008A6A7D" w:rsidRPr="008A6A7D">
        <w:rPr>
          <w:rFonts w:ascii="mylotus" w:hAnsi="mylotus" w:hint="cs"/>
          <w:b/>
          <w:bCs/>
          <w:sz w:val="34"/>
          <w:szCs w:val="34"/>
          <w:rtl/>
        </w:rPr>
        <w:t>:</w:t>
      </w:r>
      <w:r w:rsidRPr="00FD750B">
        <w:rPr>
          <w:rFonts w:ascii="mylotus" w:hAnsi="mylotus"/>
          <w:sz w:val="34"/>
          <w:szCs w:val="34"/>
          <w:rtl/>
        </w:rPr>
        <w:t xml:space="preserve"> والكلام فيها في أمرين:</w:t>
      </w:r>
    </w:p>
    <w:p w14:paraId="4E717D1E" w14:textId="77777777"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الأمر الأول:</w:t>
      </w:r>
      <w:r w:rsidRPr="00FD750B">
        <w:rPr>
          <w:rFonts w:ascii="mylotus" w:hAnsi="mylotus"/>
          <w:sz w:val="34"/>
          <w:szCs w:val="34"/>
          <w:rtl/>
        </w:rPr>
        <w:t xml:space="preserve"> في الفرق بين عقد الإجارة وعقد العارية:</w:t>
      </w:r>
    </w:p>
    <w:p w14:paraId="7038B92B" w14:textId="77777777" w:rsidR="00FD750B" w:rsidRPr="008A6A7D" w:rsidRDefault="00FD750B" w:rsidP="00FD750B">
      <w:pPr>
        <w:pStyle w:val="a0"/>
        <w:bidi/>
        <w:spacing w:line="216" w:lineRule="auto"/>
        <w:rPr>
          <w:rFonts w:ascii="mylotus" w:hAnsi="mylotus"/>
          <w:b/>
          <w:bCs/>
          <w:sz w:val="34"/>
          <w:szCs w:val="34"/>
          <w:rtl/>
        </w:rPr>
      </w:pPr>
      <w:r w:rsidRPr="008A6A7D">
        <w:rPr>
          <w:rFonts w:ascii="mylotus" w:hAnsi="mylotus"/>
          <w:b/>
          <w:bCs/>
          <w:sz w:val="34"/>
          <w:szCs w:val="34"/>
          <w:rtl/>
        </w:rPr>
        <w:t>وفي المقام محتملاتٌ ثلاثة في الفرق بين عقد الإجارة وعقد العارية:</w:t>
      </w:r>
    </w:p>
    <w:p w14:paraId="2308E973" w14:textId="77777777"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المحتمل الأول:</w:t>
      </w:r>
      <w:r w:rsidRPr="00FD750B">
        <w:rPr>
          <w:rFonts w:ascii="mylotus" w:hAnsi="mylotus"/>
          <w:sz w:val="34"/>
          <w:szCs w:val="34"/>
          <w:rtl/>
        </w:rPr>
        <w:t xml:space="preserve"> أن مفاد عقد الإجارة هو المِلك، بينما مفاد عقد العارية هو الإباحة المالكية، وإن ترتب عليها الإباحة الشرعية، بمعنى أن دور المُعِير ليس إلا إباحة العين المستعارة للم</w:t>
      </w:r>
      <w:r>
        <w:rPr>
          <w:rFonts w:ascii="mylotus" w:hAnsi="mylotus" w:hint="cs"/>
          <w:sz w:val="34"/>
          <w:szCs w:val="34"/>
          <w:rtl/>
        </w:rPr>
        <w:t>ُ</w:t>
      </w:r>
      <w:r w:rsidRPr="00FD750B">
        <w:rPr>
          <w:rFonts w:ascii="mylotus" w:hAnsi="mylotus"/>
          <w:sz w:val="34"/>
          <w:szCs w:val="34"/>
          <w:rtl/>
        </w:rPr>
        <w:t>ستعير من دون مِلك في البين، بخلاف عقد الإجارة فإن مؤداه أن يحصل المُستأجِر على مِلكٍ مِن قِبل المُؤجِر.</w:t>
      </w:r>
    </w:p>
    <w:p w14:paraId="06D85B0A" w14:textId="77E26E66" w:rsidR="00FD750B" w:rsidRDefault="00FD750B" w:rsidP="00FD750B">
      <w:pPr>
        <w:pStyle w:val="a0"/>
        <w:bidi/>
        <w:spacing w:line="216" w:lineRule="auto"/>
        <w:rPr>
          <w:rFonts w:ascii="mylotus" w:hAnsi="mylotus"/>
          <w:sz w:val="34"/>
          <w:szCs w:val="34"/>
          <w:rtl/>
        </w:rPr>
      </w:pPr>
      <w:r w:rsidRPr="00FD750B">
        <w:rPr>
          <w:rFonts w:ascii="mylotus" w:hAnsi="mylotus"/>
          <w:sz w:val="34"/>
          <w:szCs w:val="34"/>
          <w:rtl/>
        </w:rPr>
        <w:t xml:space="preserve">وأُورد على ذلك من المحقق الإصفهاني قدس سره الشريف </w:t>
      </w:r>
      <w:r>
        <w:rPr>
          <w:rFonts w:ascii="mylotus" w:hAnsi="mylotus" w:hint="cs"/>
          <w:sz w:val="34"/>
          <w:szCs w:val="34"/>
          <w:rtl/>
        </w:rPr>
        <w:t>[</w:t>
      </w:r>
      <w:r w:rsidRPr="00FD750B">
        <w:rPr>
          <w:rFonts w:ascii="mylotus" w:hAnsi="mylotus"/>
          <w:sz w:val="34"/>
          <w:szCs w:val="34"/>
          <w:rtl/>
        </w:rPr>
        <w:t>في رسالته في الحق والحكم</w:t>
      </w:r>
      <w:r>
        <w:rPr>
          <w:rFonts w:ascii="mylotus" w:hAnsi="mylotus" w:hint="cs"/>
          <w:sz w:val="34"/>
          <w:szCs w:val="34"/>
          <w:rtl/>
        </w:rPr>
        <w:t xml:space="preserve"> ص33]</w:t>
      </w:r>
      <w:r w:rsidRPr="00FD750B">
        <w:rPr>
          <w:rFonts w:ascii="mylotus" w:hAnsi="mylotus"/>
          <w:sz w:val="34"/>
          <w:szCs w:val="34"/>
          <w:rtl/>
        </w:rPr>
        <w:t>: بأن</w:t>
      </w:r>
      <w:r>
        <w:rPr>
          <w:rFonts w:ascii="mylotus" w:hAnsi="mylotus" w:hint="cs"/>
          <w:sz w:val="34"/>
          <w:szCs w:val="34"/>
          <w:rtl/>
        </w:rPr>
        <w:t>ّ</w:t>
      </w:r>
      <w:r w:rsidRPr="00FD750B">
        <w:rPr>
          <w:rFonts w:ascii="mylotus" w:hAnsi="mylotus"/>
          <w:sz w:val="34"/>
          <w:szCs w:val="34"/>
          <w:rtl/>
        </w:rPr>
        <w:t xml:space="preserve"> عقد العارية لو كان مفاده مجرد إباحة مالكية لما توقف على القبول، فإن الإباحة والإذن في الانتفاع لا يتوقف على </w:t>
      </w:r>
      <w:r w:rsidR="008A6A7D">
        <w:rPr>
          <w:rFonts w:ascii="mylotus" w:hAnsi="mylotus"/>
          <w:sz w:val="34"/>
          <w:szCs w:val="34"/>
          <w:rtl/>
        </w:rPr>
        <w:t>قَبول الآخر؛ إذ ليس الإذن في ال</w:t>
      </w:r>
      <w:r w:rsidR="008A6A7D">
        <w:rPr>
          <w:rFonts w:ascii="mylotus" w:hAnsi="mylotus" w:hint="cs"/>
          <w:sz w:val="34"/>
          <w:szCs w:val="34"/>
          <w:rtl/>
        </w:rPr>
        <w:t>ا</w:t>
      </w:r>
      <w:r w:rsidRPr="00FD750B">
        <w:rPr>
          <w:rFonts w:ascii="mylotus" w:hAnsi="mylotus"/>
          <w:sz w:val="34"/>
          <w:szCs w:val="34"/>
          <w:rtl/>
        </w:rPr>
        <w:t>نتفاع بالعين تدخلا</w:t>
      </w:r>
      <w:r>
        <w:rPr>
          <w:rFonts w:ascii="mylotus" w:hAnsi="mylotus" w:hint="cs"/>
          <w:sz w:val="34"/>
          <w:szCs w:val="34"/>
          <w:rtl/>
        </w:rPr>
        <w:t>ً</w:t>
      </w:r>
      <w:r w:rsidRPr="00FD750B">
        <w:rPr>
          <w:rFonts w:ascii="mylotus" w:hAnsi="mylotus"/>
          <w:sz w:val="34"/>
          <w:szCs w:val="34"/>
          <w:rtl/>
        </w:rPr>
        <w:t xml:space="preserve"> في سلطنته وشأنه كي يتوقف على قبوله.</w:t>
      </w:r>
    </w:p>
    <w:p w14:paraId="46DC4D22" w14:textId="77777777"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المحتمل الثاني:</w:t>
      </w:r>
      <w:r w:rsidRPr="00FD750B">
        <w:rPr>
          <w:rFonts w:ascii="mylotus" w:hAnsi="mylotus"/>
          <w:sz w:val="34"/>
          <w:szCs w:val="34"/>
          <w:rtl/>
        </w:rPr>
        <w:t xml:space="preserve"> أن الإجارة تمليك المنفعة، بينما العارية تمليك الانتفاع، وهذا ما استقربه بعض الأعلام في الفرق بين العارية وبين الإجارة، فإن المُستعِير في عقد العارية لا يملك نفس المنفعة كي ينقلها إلى غيره، بينما المُستأجِر في عقد الإجارة يملك المنفعة؛ ولذلك يمكنه نقل المنفعة إلى غيره.</w:t>
      </w:r>
    </w:p>
    <w:p w14:paraId="2710C508" w14:textId="77777777" w:rsidR="00FD750B" w:rsidRDefault="00FD750B" w:rsidP="00FD750B">
      <w:pPr>
        <w:pStyle w:val="a0"/>
        <w:bidi/>
        <w:spacing w:line="216" w:lineRule="auto"/>
        <w:rPr>
          <w:rFonts w:ascii="mylotus" w:hAnsi="mylotus"/>
          <w:sz w:val="34"/>
          <w:szCs w:val="34"/>
          <w:rtl/>
        </w:rPr>
      </w:pPr>
      <w:r w:rsidRPr="00FD750B">
        <w:rPr>
          <w:rFonts w:ascii="mylotus" w:hAnsi="mylotus"/>
          <w:sz w:val="34"/>
          <w:szCs w:val="34"/>
          <w:rtl/>
        </w:rPr>
        <w:t>إلا أن هذا المحتمل مورد منعٍ أيضا</w:t>
      </w:r>
      <w:r>
        <w:rPr>
          <w:rFonts w:ascii="mylotus" w:hAnsi="mylotus" w:hint="cs"/>
          <w:sz w:val="34"/>
          <w:szCs w:val="34"/>
          <w:rtl/>
        </w:rPr>
        <w:t>ً؛</w:t>
      </w:r>
      <w:r w:rsidRPr="00FD750B">
        <w:rPr>
          <w:rFonts w:ascii="mylotus" w:hAnsi="mylotus"/>
          <w:sz w:val="34"/>
          <w:szCs w:val="34"/>
          <w:rtl/>
        </w:rPr>
        <w:t xml:space="preserve"> لعدم ترتب آثار م</w:t>
      </w:r>
      <w:r>
        <w:rPr>
          <w:rFonts w:ascii="mylotus" w:hAnsi="mylotus" w:hint="cs"/>
          <w:sz w:val="34"/>
          <w:szCs w:val="34"/>
          <w:rtl/>
        </w:rPr>
        <w:t>ِ</w:t>
      </w:r>
      <w:r w:rsidRPr="00FD750B">
        <w:rPr>
          <w:rFonts w:ascii="mylotus" w:hAnsi="mylotus"/>
          <w:sz w:val="34"/>
          <w:szCs w:val="34"/>
          <w:rtl/>
        </w:rPr>
        <w:t>لك ال</w:t>
      </w:r>
      <w:r>
        <w:rPr>
          <w:rFonts w:ascii="mylotus" w:hAnsi="mylotus" w:hint="cs"/>
          <w:sz w:val="34"/>
          <w:szCs w:val="34"/>
          <w:rtl/>
        </w:rPr>
        <w:t>ا</w:t>
      </w:r>
      <w:r w:rsidRPr="00FD750B">
        <w:rPr>
          <w:rFonts w:ascii="mylotus" w:hAnsi="mylotus"/>
          <w:sz w:val="34"/>
          <w:szCs w:val="34"/>
          <w:rtl/>
        </w:rPr>
        <w:t>نتفاع على العارية وأوضحها أثران:</w:t>
      </w:r>
    </w:p>
    <w:p w14:paraId="50E973F4" w14:textId="0E2D0BB0"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الأثر الأول:</w:t>
      </w:r>
      <w:r w:rsidRPr="00FD750B">
        <w:rPr>
          <w:rFonts w:ascii="mylotus" w:hAnsi="mylotus"/>
          <w:sz w:val="34"/>
          <w:szCs w:val="34"/>
          <w:rtl/>
        </w:rPr>
        <w:t xml:space="preserve"> أن من المتسالم عليه أنه لو استأجر شخصٌ البستان فإن له عند انقضاء مدة الإجارة أن يجني ما بقيّ من الثمار في البستان؛ حيث إن هذه الثمار مما دخل في حوزته في مدة إجارته فله أن يجنيها وإن انقضت مدة الإجارة، بينما لو استعار شخصٌ البستان فانقضت مدة العارية أو أن المُعير رجع عن </w:t>
      </w:r>
      <w:proofErr w:type="spellStart"/>
      <w:r w:rsidRPr="00FD750B">
        <w:rPr>
          <w:rFonts w:ascii="mylotus" w:hAnsi="mylotus"/>
          <w:sz w:val="34"/>
          <w:szCs w:val="34"/>
          <w:rtl/>
        </w:rPr>
        <w:t>عاريته</w:t>
      </w:r>
      <w:proofErr w:type="spellEnd"/>
      <w:r w:rsidRPr="00FD750B">
        <w:rPr>
          <w:rFonts w:ascii="mylotus" w:hAnsi="mylotus"/>
          <w:sz w:val="34"/>
          <w:szCs w:val="34"/>
          <w:rtl/>
        </w:rPr>
        <w:t xml:space="preserve"> فليس للمُستعير أن يجني الثمار الباقية التي كانت في مدة الاستعارة مع أنه</w:t>
      </w:r>
      <w:r w:rsidR="008A6A7D">
        <w:rPr>
          <w:rFonts w:ascii="mylotus" w:hAnsi="mylotus"/>
          <w:sz w:val="34"/>
          <w:szCs w:val="34"/>
          <w:rtl/>
        </w:rPr>
        <w:t xml:space="preserve"> لو كان يملك الانتفاع في مدة ال</w:t>
      </w:r>
      <w:r w:rsidR="008A6A7D">
        <w:rPr>
          <w:rFonts w:ascii="mylotus" w:hAnsi="mylotus" w:hint="cs"/>
          <w:sz w:val="34"/>
          <w:szCs w:val="34"/>
          <w:rtl/>
        </w:rPr>
        <w:t>ا</w:t>
      </w:r>
      <w:r w:rsidRPr="00FD750B">
        <w:rPr>
          <w:rFonts w:ascii="mylotus" w:hAnsi="mylotus"/>
          <w:sz w:val="34"/>
          <w:szCs w:val="34"/>
          <w:rtl/>
        </w:rPr>
        <w:t>ستعارة لترتب على المِلك جني الثمار التي حصلت في مدة استعارته خصوصاً إذا كانت نتيجة عمله</w:t>
      </w:r>
      <w:r>
        <w:rPr>
          <w:rFonts w:ascii="mylotus" w:hAnsi="mylotus" w:hint="cs"/>
          <w:sz w:val="34"/>
          <w:szCs w:val="34"/>
          <w:rtl/>
        </w:rPr>
        <w:t>.</w:t>
      </w:r>
    </w:p>
    <w:p w14:paraId="4E99B46F" w14:textId="77777777"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lastRenderedPageBreak/>
        <w:t>الأثر الثاني:</w:t>
      </w:r>
      <w:r w:rsidRPr="00FD750B">
        <w:rPr>
          <w:rFonts w:ascii="mylotus" w:hAnsi="mylotus"/>
          <w:sz w:val="34"/>
          <w:szCs w:val="34"/>
          <w:rtl/>
        </w:rPr>
        <w:t xml:space="preserve"> أنه لو غصبَ العينَ غاصبٌ، فإن كانت العين مُستأجَرة، كما لو استأجر شخصٌ الدار أو السيارة وغصبها منه غاصبٌ، أو منعه ظالم من ال</w:t>
      </w:r>
      <w:r>
        <w:rPr>
          <w:rFonts w:ascii="mylotus" w:hAnsi="mylotus" w:hint="cs"/>
          <w:sz w:val="34"/>
          <w:szCs w:val="34"/>
          <w:rtl/>
        </w:rPr>
        <w:t>ا</w:t>
      </w:r>
      <w:r w:rsidRPr="00FD750B">
        <w:rPr>
          <w:rFonts w:ascii="mylotus" w:hAnsi="mylotus"/>
          <w:sz w:val="34"/>
          <w:szCs w:val="34"/>
          <w:rtl/>
        </w:rPr>
        <w:t>ستفادة منها فإن</w:t>
      </w:r>
      <w:r>
        <w:rPr>
          <w:rFonts w:ascii="mylotus" w:hAnsi="mylotus" w:hint="cs"/>
          <w:sz w:val="34"/>
          <w:szCs w:val="34"/>
          <w:rtl/>
        </w:rPr>
        <w:t>ّ</w:t>
      </w:r>
      <w:r w:rsidRPr="00FD750B">
        <w:rPr>
          <w:rFonts w:ascii="mylotus" w:hAnsi="mylotus"/>
          <w:sz w:val="34"/>
          <w:szCs w:val="34"/>
          <w:rtl/>
        </w:rPr>
        <w:t xml:space="preserve"> الم</w:t>
      </w:r>
      <w:r>
        <w:rPr>
          <w:rFonts w:ascii="mylotus" w:hAnsi="mylotus" w:hint="cs"/>
          <w:sz w:val="34"/>
          <w:szCs w:val="34"/>
          <w:rtl/>
        </w:rPr>
        <w:t>ُ</w:t>
      </w:r>
      <w:r w:rsidRPr="00FD750B">
        <w:rPr>
          <w:rFonts w:ascii="mylotus" w:hAnsi="mylotus"/>
          <w:sz w:val="34"/>
          <w:szCs w:val="34"/>
          <w:rtl/>
        </w:rPr>
        <w:t>تسالم عليه أن يضمن الغاصبُ قيمة ما فات من المنافع للمُستأجِر لا لمالك العين، بينما لو غصبَ العينَ غاصبٌ وكانت عارية لم يضمن الغاصبُ قيمة المنافع للمُستعير؛ وإنما يضمن قيمة المنافع لمالك العين، مما يكشف عن أن المُستعير لم يملك شيئاً بالعارية؛ وإلا لو كان يملك شيئاً ولو كان هذا المِلك هو الانتفاع لا المنفعة لترتب على ملكيته الضمان له.</w:t>
      </w:r>
    </w:p>
    <w:p w14:paraId="66C095AB" w14:textId="77777777" w:rsidR="00FD750B" w:rsidRDefault="00FD750B" w:rsidP="00FD750B">
      <w:pPr>
        <w:pStyle w:val="a0"/>
        <w:bidi/>
        <w:spacing w:line="216" w:lineRule="auto"/>
        <w:rPr>
          <w:rFonts w:ascii="mylotus" w:hAnsi="mylotus"/>
          <w:sz w:val="34"/>
          <w:szCs w:val="34"/>
          <w:rtl/>
        </w:rPr>
      </w:pPr>
      <w:r w:rsidRPr="00FD750B">
        <w:rPr>
          <w:rFonts w:ascii="mylotus" w:hAnsi="mylotus"/>
          <w:sz w:val="34"/>
          <w:szCs w:val="34"/>
          <w:rtl/>
        </w:rPr>
        <w:t>فهذه الآثار شاهدة على أن المحتمل الثاني في الفرق بين الإجارة والعارية غير تامٍ.</w:t>
      </w:r>
    </w:p>
    <w:p w14:paraId="04CE5AD7" w14:textId="71260F43"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المحتمل الثالث:</w:t>
      </w:r>
      <w:r w:rsidRPr="00FD750B">
        <w:rPr>
          <w:rFonts w:ascii="mylotus" w:hAnsi="mylotus"/>
          <w:sz w:val="34"/>
          <w:szCs w:val="34"/>
          <w:rtl/>
        </w:rPr>
        <w:t xml:space="preserve"> أن المترتب على الإجارة حقٌ عيني، ومِلك سواء كان مِلكاً للمنفعة أو كان مِلكاً للانتفاع، بينما المترتب على عقد العارية حقٌ شخصي، بمعنى أن المُعير إنما منح المُستعير سلطنةً على التصرف في العين قابلة لرفع اليد عنها، نظير ما يترتب على عقد الضمان - بناء</w:t>
      </w:r>
      <w:r w:rsidR="008A6A7D">
        <w:rPr>
          <w:rFonts w:ascii="mylotus" w:hAnsi="mylotus" w:hint="cs"/>
          <w:sz w:val="34"/>
          <w:szCs w:val="34"/>
          <w:rtl/>
        </w:rPr>
        <w:t>ً</w:t>
      </w:r>
      <w:r w:rsidRPr="00FD750B">
        <w:rPr>
          <w:rFonts w:ascii="mylotus" w:hAnsi="mylotus"/>
          <w:sz w:val="34"/>
          <w:szCs w:val="34"/>
          <w:rtl/>
        </w:rPr>
        <w:t xml:space="preserve"> على أنه من ضم عهدة </w:t>
      </w:r>
      <w:r>
        <w:rPr>
          <w:rFonts w:ascii="mylotus" w:hAnsi="mylotus" w:hint="cs"/>
          <w:sz w:val="34"/>
          <w:szCs w:val="34"/>
          <w:rtl/>
        </w:rPr>
        <w:t>إ</w:t>
      </w:r>
      <w:r w:rsidRPr="00FD750B">
        <w:rPr>
          <w:rFonts w:ascii="mylotus" w:hAnsi="mylotus"/>
          <w:sz w:val="34"/>
          <w:szCs w:val="34"/>
          <w:rtl/>
        </w:rPr>
        <w:t>لى عهدة لا</w:t>
      </w:r>
      <w:r>
        <w:rPr>
          <w:rFonts w:ascii="mylotus" w:hAnsi="mylotus" w:hint="cs"/>
          <w:sz w:val="34"/>
          <w:szCs w:val="34"/>
          <w:rtl/>
        </w:rPr>
        <w:t xml:space="preserve"> </w:t>
      </w:r>
      <w:r w:rsidRPr="00FD750B">
        <w:rPr>
          <w:rFonts w:ascii="mylotus" w:hAnsi="mylotus"/>
          <w:sz w:val="34"/>
          <w:szCs w:val="34"/>
          <w:rtl/>
        </w:rPr>
        <w:t xml:space="preserve">من ضم ذمة </w:t>
      </w:r>
      <w:r>
        <w:rPr>
          <w:rFonts w:ascii="mylotus" w:hAnsi="mylotus" w:hint="cs"/>
          <w:sz w:val="34"/>
          <w:szCs w:val="34"/>
          <w:rtl/>
        </w:rPr>
        <w:t>إ</w:t>
      </w:r>
      <w:r w:rsidRPr="00FD750B">
        <w:rPr>
          <w:rFonts w:ascii="mylotus" w:hAnsi="mylotus"/>
          <w:sz w:val="34"/>
          <w:szCs w:val="34"/>
          <w:rtl/>
        </w:rPr>
        <w:t>لى ذمة - فإن الإنسان لو ضمن عن مَدينٍ مُعينٍ فقال الضامنُ للدائن: (إن حلّ وقتُ الأجل ولم يسدد المَدينُ الدَين فأنا أتعهد بالأداء)، فإنه لا يترتب على عقد الضمان أيُّ مِلك؛ إنما يترتب عليه أنه لو تخلف المَدين في الوقت المحدد لكان للدائن حق مطالبة الضامن بالأداء، فالحقُ المترتب على عقد الضمان حقٌ شخصي وهو ليس إلا حق المطالبة، كذلك ما يترتب على العارية حقٌ شخصي وهو أن له أن ينتفع بالعين لا أكثر من ذلك، ولهذا فإن هذه السلطنة القاصرة القابلة للزوال مما لا</w:t>
      </w:r>
      <w:r>
        <w:rPr>
          <w:rFonts w:ascii="mylotus" w:hAnsi="mylotus" w:hint="cs"/>
          <w:sz w:val="34"/>
          <w:szCs w:val="34"/>
          <w:rtl/>
        </w:rPr>
        <w:t xml:space="preserve"> </w:t>
      </w:r>
      <w:r w:rsidRPr="00FD750B">
        <w:rPr>
          <w:rFonts w:ascii="mylotus" w:hAnsi="mylotus"/>
          <w:sz w:val="34"/>
          <w:szCs w:val="34"/>
          <w:rtl/>
        </w:rPr>
        <w:t>تورث ولا</w:t>
      </w:r>
      <w:r>
        <w:rPr>
          <w:rFonts w:ascii="mylotus" w:hAnsi="mylotus" w:hint="cs"/>
          <w:sz w:val="34"/>
          <w:szCs w:val="34"/>
          <w:rtl/>
        </w:rPr>
        <w:t xml:space="preserve"> </w:t>
      </w:r>
      <w:r w:rsidRPr="00FD750B">
        <w:rPr>
          <w:rFonts w:ascii="mylotus" w:hAnsi="mylotus"/>
          <w:sz w:val="34"/>
          <w:szCs w:val="34"/>
          <w:rtl/>
        </w:rPr>
        <w:t>تصلح للنقل بصلح</w:t>
      </w:r>
      <w:r>
        <w:rPr>
          <w:rFonts w:ascii="mylotus" w:hAnsi="mylotus" w:hint="cs"/>
          <w:sz w:val="34"/>
          <w:szCs w:val="34"/>
          <w:rtl/>
        </w:rPr>
        <w:t>ٍ</w:t>
      </w:r>
      <w:r w:rsidRPr="00FD750B">
        <w:rPr>
          <w:rFonts w:ascii="mylotus" w:hAnsi="mylotus"/>
          <w:sz w:val="34"/>
          <w:szCs w:val="34"/>
          <w:rtl/>
        </w:rPr>
        <w:t xml:space="preserve"> أو نحوه.</w:t>
      </w:r>
    </w:p>
    <w:p w14:paraId="7219EE61" w14:textId="77777777" w:rsidR="00FD750B" w:rsidRDefault="00FD750B" w:rsidP="00FD750B">
      <w:pPr>
        <w:pStyle w:val="a0"/>
        <w:bidi/>
        <w:spacing w:line="216" w:lineRule="auto"/>
        <w:rPr>
          <w:rFonts w:ascii="mylotus" w:hAnsi="mylotus"/>
          <w:sz w:val="34"/>
          <w:szCs w:val="34"/>
          <w:rtl/>
        </w:rPr>
      </w:pPr>
      <w:r w:rsidRPr="00FD750B">
        <w:rPr>
          <w:rFonts w:ascii="mylotus" w:hAnsi="mylotus"/>
          <w:sz w:val="34"/>
          <w:szCs w:val="34"/>
          <w:rtl/>
        </w:rPr>
        <w:t>وهذا هو الصحيح في الفرق بين عقد الإجارة وعقد العارية.</w:t>
      </w:r>
    </w:p>
    <w:p w14:paraId="7B1F7462" w14:textId="77777777" w:rsidR="00FD750B" w:rsidRDefault="00FD750B" w:rsidP="00FD750B">
      <w:pPr>
        <w:pStyle w:val="a0"/>
        <w:bidi/>
        <w:spacing w:line="216" w:lineRule="auto"/>
        <w:rPr>
          <w:rFonts w:ascii="mylotus" w:hAnsi="mylotus"/>
          <w:sz w:val="34"/>
          <w:szCs w:val="34"/>
          <w:rtl/>
        </w:rPr>
      </w:pPr>
      <w:r w:rsidRPr="00FD750B">
        <w:rPr>
          <w:rFonts w:ascii="mylotus" w:hAnsi="mylotus"/>
          <w:b/>
          <w:bCs/>
          <w:sz w:val="34"/>
          <w:szCs w:val="34"/>
          <w:rtl/>
        </w:rPr>
        <w:t>الأمر الثاني:</w:t>
      </w:r>
      <w:r w:rsidRPr="00FD750B">
        <w:rPr>
          <w:rFonts w:ascii="mylotus" w:hAnsi="mylotus"/>
          <w:sz w:val="34"/>
          <w:szCs w:val="34"/>
          <w:rtl/>
        </w:rPr>
        <w:t xml:space="preserve"> - بعد الفرق بين عقد الإجارة وعقد العارية - يقع الكلام في تحليل المُنشأ المعاملي لعقد الإجارة بحسب المرتكز العقلائي.</w:t>
      </w:r>
    </w:p>
    <w:p w14:paraId="568D09B3" w14:textId="77777777" w:rsidR="00FD750B" w:rsidRDefault="00FD750B" w:rsidP="00FD750B">
      <w:pPr>
        <w:pStyle w:val="a0"/>
        <w:bidi/>
        <w:spacing w:line="216" w:lineRule="auto"/>
        <w:rPr>
          <w:rFonts w:ascii="mylotus" w:hAnsi="mylotus"/>
          <w:sz w:val="34"/>
          <w:szCs w:val="34"/>
          <w:rtl/>
        </w:rPr>
      </w:pPr>
      <w:r w:rsidRPr="00FD750B">
        <w:rPr>
          <w:rFonts w:ascii="mylotus" w:hAnsi="mylotus"/>
          <w:sz w:val="34"/>
          <w:szCs w:val="34"/>
          <w:rtl/>
        </w:rPr>
        <w:t>فهل أن مؤدى عقد الإجارة المبادلة على المنفعة، أم المبادلة على الانتفاع؟</w:t>
      </w:r>
    </w:p>
    <w:p w14:paraId="45D361F3" w14:textId="77777777"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t>وهو مما يتوقف على بيان الفرق بين تمليك المنفعة وتمليك الانتفاع</w:t>
      </w:r>
      <w:r w:rsidR="0030472F">
        <w:rPr>
          <w:rFonts w:ascii="mylotus" w:hAnsi="mylotus" w:hint="cs"/>
          <w:sz w:val="34"/>
          <w:szCs w:val="34"/>
          <w:rtl/>
        </w:rPr>
        <w:t xml:space="preserve">، </w:t>
      </w:r>
      <w:r w:rsidRPr="00FD750B">
        <w:rPr>
          <w:rFonts w:ascii="mylotus" w:hAnsi="mylotus"/>
          <w:sz w:val="34"/>
          <w:szCs w:val="34"/>
          <w:rtl/>
        </w:rPr>
        <w:t xml:space="preserve">وقد تعرض المحقق الإصفهاني قدس سره الشريف [في رسالته في الحق والحكم </w:t>
      </w:r>
      <w:r>
        <w:rPr>
          <w:rFonts w:ascii="mylotus" w:hAnsi="mylotus" w:hint="cs"/>
          <w:sz w:val="34"/>
          <w:szCs w:val="34"/>
          <w:rtl/>
        </w:rPr>
        <w:t>ص33 - 37</w:t>
      </w:r>
      <w:r w:rsidRPr="00FD750B">
        <w:rPr>
          <w:rFonts w:ascii="mylotus" w:hAnsi="mylotus"/>
          <w:sz w:val="34"/>
          <w:szCs w:val="34"/>
          <w:rtl/>
        </w:rPr>
        <w:t>] إلى الفارق بين مِلك المنفعة ومِلك الانتفاع، المردد بين ثلاثة محتملات:</w:t>
      </w:r>
    </w:p>
    <w:p w14:paraId="09E57B53" w14:textId="77777777" w:rsidR="0030472F" w:rsidRDefault="00FD750B" w:rsidP="0030472F">
      <w:pPr>
        <w:pStyle w:val="a0"/>
        <w:bidi/>
        <w:spacing w:line="216" w:lineRule="auto"/>
        <w:rPr>
          <w:rFonts w:ascii="mylotus" w:hAnsi="mylotus"/>
          <w:sz w:val="34"/>
          <w:szCs w:val="34"/>
          <w:rtl/>
        </w:rPr>
      </w:pPr>
      <w:r w:rsidRPr="0030472F">
        <w:rPr>
          <w:rFonts w:ascii="mylotus" w:hAnsi="mylotus"/>
          <w:b/>
          <w:bCs/>
          <w:sz w:val="34"/>
          <w:szCs w:val="34"/>
          <w:rtl/>
        </w:rPr>
        <w:t>المحتمل الأول:</w:t>
      </w:r>
      <w:r w:rsidRPr="00FD750B">
        <w:rPr>
          <w:rFonts w:ascii="mylotus" w:hAnsi="mylotus"/>
          <w:sz w:val="34"/>
          <w:szCs w:val="34"/>
          <w:rtl/>
        </w:rPr>
        <w:t xml:space="preserve"> أن المراد بالمنفعة الحيثية القائمة بالعين، والمراد بالانتفاع العرض القائم بالمنتفع فلو كان مفاد عقد الإجارة في قوله: (آجرتُك العين لمدة سنةٍ بكذا) هو المبادلة على المنفعة، فالمقصود تمليك </w:t>
      </w:r>
      <w:r w:rsidRPr="00FD750B">
        <w:rPr>
          <w:rFonts w:ascii="mylotus" w:hAnsi="mylotus"/>
          <w:sz w:val="34"/>
          <w:szCs w:val="34"/>
          <w:rtl/>
        </w:rPr>
        <w:lastRenderedPageBreak/>
        <w:t>قابلية العين للانتفاع والاستيفاء، فإن القابلية هي الحيثية القائمة بالعين، بينما لو كان مفاده المبادلة على الانتفاع فالمقصود بالإجارة هو تمليك نفس العمل أو نفس السُكنى، كأنه قال: (ملكتُك السُكنى).</w:t>
      </w:r>
    </w:p>
    <w:p w14:paraId="784C7894" w14:textId="77777777" w:rsidR="0030472F" w:rsidRDefault="00FD750B" w:rsidP="0030472F">
      <w:pPr>
        <w:pStyle w:val="a0"/>
        <w:bidi/>
        <w:spacing w:line="216" w:lineRule="auto"/>
        <w:rPr>
          <w:rFonts w:ascii="mylotus" w:hAnsi="mylotus"/>
          <w:sz w:val="34"/>
          <w:szCs w:val="34"/>
          <w:rtl/>
        </w:rPr>
      </w:pPr>
      <w:r w:rsidRPr="0030472F">
        <w:rPr>
          <w:rFonts w:ascii="mylotus" w:hAnsi="mylotus"/>
          <w:b/>
          <w:bCs/>
          <w:sz w:val="34"/>
          <w:szCs w:val="34"/>
          <w:rtl/>
        </w:rPr>
        <w:t>ولكن يلاحظ على هذا الفرق:</w:t>
      </w:r>
      <w:r w:rsidRPr="00FD750B">
        <w:rPr>
          <w:rFonts w:ascii="mylotus" w:hAnsi="mylotus"/>
          <w:sz w:val="34"/>
          <w:szCs w:val="34"/>
          <w:rtl/>
        </w:rPr>
        <w:t xml:space="preserve"> ما سبق من أن قابلية العين للانتفاع ليست أمراً قابلاً للمبادلة بالتمليك أو النقل؛ فإن قابلية العين للانتفاع بها أمرٌ ثابتٌ في العين لا يقبل النقل والتمليك، وإنما الذي يكون مُتعلقاً للنقل والتمليك ما ينعدم بالاستيفاء أو</w:t>
      </w:r>
      <w:r w:rsidR="0030472F">
        <w:rPr>
          <w:rFonts w:ascii="mylotus" w:hAnsi="mylotus" w:hint="cs"/>
          <w:sz w:val="34"/>
          <w:szCs w:val="34"/>
          <w:rtl/>
        </w:rPr>
        <w:t xml:space="preserve"> </w:t>
      </w:r>
      <w:r w:rsidRPr="00FD750B">
        <w:rPr>
          <w:rFonts w:ascii="mylotus" w:hAnsi="mylotus"/>
          <w:sz w:val="34"/>
          <w:szCs w:val="34"/>
          <w:rtl/>
        </w:rPr>
        <w:t>ينقضي بشكلٍ تدريجي وهو المُعَبر عنه بالمنفعة لا قابلية العين للانتفاع بها وهو نفس الس</w:t>
      </w:r>
      <w:r w:rsidR="0030472F">
        <w:rPr>
          <w:rFonts w:ascii="mylotus" w:hAnsi="mylotus" w:hint="cs"/>
          <w:sz w:val="34"/>
          <w:szCs w:val="34"/>
          <w:rtl/>
        </w:rPr>
        <w:t>ُ</w:t>
      </w:r>
      <w:r w:rsidRPr="00FD750B">
        <w:rPr>
          <w:rFonts w:ascii="mylotus" w:hAnsi="mylotus"/>
          <w:sz w:val="34"/>
          <w:szCs w:val="34"/>
          <w:rtl/>
        </w:rPr>
        <w:t>كنى في ما</w:t>
      </w:r>
      <w:r w:rsidR="0030472F">
        <w:rPr>
          <w:rFonts w:ascii="mylotus" w:hAnsi="mylotus" w:hint="cs"/>
          <w:sz w:val="34"/>
          <w:szCs w:val="34"/>
          <w:rtl/>
        </w:rPr>
        <w:t xml:space="preserve"> </w:t>
      </w:r>
      <w:r w:rsidRPr="00FD750B">
        <w:rPr>
          <w:rFonts w:ascii="mylotus" w:hAnsi="mylotus"/>
          <w:sz w:val="34"/>
          <w:szCs w:val="34"/>
          <w:rtl/>
        </w:rPr>
        <w:t>ذكر مثالا</w:t>
      </w:r>
      <w:r w:rsidR="0030472F">
        <w:rPr>
          <w:rFonts w:ascii="mylotus" w:hAnsi="mylotus" w:hint="cs"/>
          <w:sz w:val="34"/>
          <w:szCs w:val="34"/>
          <w:rtl/>
        </w:rPr>
        <w:t>ً</w:t>
      </w:r>
      <w:r w:rsidRPr="00FD750B">
        <w:rPr>
          <w:rFonts w:ascii="mylotus" w:hAnsi="mylotus"/>
          <w:sz w:val="34"/>
          <w:szCs w:val="34"/>
          <w:rtl/>
        </w:rPr>
        <w:t xml:space="preserve"> للانتفاع.</w:t>
      </w:r>
    </w:p>
    <w:p w14:paraId="5ECB138F" w14:textId="2FBA3396" w:rsidR="0030472F" w:rsidRDefault="00FD750B" w:rsidP="0030472F">
      <w:pPr>
        <w:pStyle w:val="a0"/>
        <w:bidi/>
        <w:spacing w:line="216" w:lineRule="auto"/>
        <w:rPr>
          <w:rFonts w:ascii="mylotus" w:hAnsi="mylotus"/>
          <w:sz w:val="34"/>
          <w:szCs w:val="34"/>
          <w:rtl/>
        </w:rPr>
      </w:pPr>
      <w:r w:rsidRPr="0030472F">
        <w:rPr>
          <w:rFonts w:ascii="mylotus" w:hAnsi="mylotus"/>
          <w:b/>
          <w:bCs/>
          <w:sz w:val="34"/>
          <w:szCs w:val="34"/>
          <w:rtl/>
        </w:rPr>
        <w:t>المحتمل الثاني:</w:t>
      </w:r>
      <w:r w:rsidRPr="00FD750B">
        <w:rPr>
          <w:rFonts w:ascii="mylotus" w:hAnsi="mylotus"/>
          <w:sz w:val="34"/>
          <w:szCs w:val="34"/>
          <w:rtl/>
        </w:rPr>
        <w:t xml:space="preserve"> ما هو المختار لدى المحقق الإصفهاني قدس سره الشريف من أن المنفعة لها نسبتان، نسبة للعين ونسبة للمنتفع، وهي بلحاظ النسبة الأولى لا</w:t>
      </w:r>
      <w:r w:rsidR="0030472F">
        <w:rPr>
          <w:rFonts w:ascii="mylotus" w:hAnsi="mylotus" w:hint="cs"/>
          <w:sz w:val="34"/>
          <w:szCs w:val="34"/>
          <w:rtl/>
        </w:rPr>
        <w:t xml:space="preserve"> </w:t>
      </w:r>
      <w:r w:rsidRPr="00FD750B">
        <w:rPr>
          <w:rFonts w:ascii="mylotus" w:hAnsi="mylotus"/>
          <w:sz w:val="34"/>
          <w:szCs w:val="34"/>
          <w:rtl/>
        </w:rPr>
        <w:t>بشرط من حيث شخص المنتفع، وبلحاظ النسبة الثانية متقومة</w:t>
      </w:r>
      <w:r w:rsidR="0030472F">
        <w:rPr>
          <w:rFonts w:ascii="mylotus" w:hAnsi="mylotus" w:hint="cs"/>
          <w:sz w:val="34"/>
          <w:szCs w:val="34"/>
          <w:rtl/>
        </w:rPr>
        <w:t>ٌ</w:t>
      </w:r>
      <w:r w:rsidRPr="00FD750B">
        <w:rPr>
          <w:rFonts w:ascii="mylotus" w:hAnsi="mylotus"/>
          <w:sz w:val="34"/>
          <w:szCs w:val="34"/>
          <w:rtl/>
        </w:rPr>
        <w:t xml:space="preserve"> به.</w:t>
      </w:r>
    </w:p>
    <w:p w14:paraId="19A346D5" w14:textId="77777777"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t>مثلاً: سُكنى الدار لها نسبتان: نسبةٌ للدار، ونسبة للمنتفع بها</w:t>
      </w:r>
      <w:r w:rsidR="0030472F">
        <w:rPr>
          <w:rFonts w:ascii="mylotus" w:hAnsi="mylotus" w:hint="cs"/>
          <w:sz w:val="34"/>
          <w:szCs w:val="34"/>
          <w:rtl/>
        </w:rPr>
        <w:t>،</w:t>
      </w:r>
      <w:r w:rsidRPr="00FD750B">
        <w:rPr>
          <w:rFonts w:ascii="mylotus" w:hAnsi="mylotus"/>
          <w:sz w:val="34"/>
          <w:szCs w:val="34"/>
          <w:rtl/>
        </w:rPr>
        <w:t xml:space="preserve"> فيقال: (هو ساكنٌ والدارُ مسكونةٌ)، فإن لوحظت النسبة الأولى وهي النسبة للعين فهي طبيعي الس</w:t>
      </w:r>
      <w:r w:rsidR="0030472F">
        <w:rPr>
          <w:rFonts w:ascii="mylotus" w:hAnsi="mylotus" w:hint="cs"/>
          <w:sz w:val="34"/>
          <w:szCs w:val="34"/>
          <w:rtl/>
        </w:rPr>
        <w:t>ُ</w:t>
      </w:r>
      <w:r w:rsidRPr="00FD750B">
        <w:rPr>
          <w:rFonts w:ascii="mylotus" w:hAnsi="mylotus"/>
          <w:sz w:val="34"/>
          <w:szCs w:val="34"/>
          <w:rtl/>
        </w:rPr>
        <w:t>كنى بغض النظر عن شخص الم</w:t>
      </w:r>
      <w:r w:rsidR="0030472F">
        <w:rPr>
          <w:rFonts w:ascii="mylotus" w:hAnsi="mylotus" w:hint="cs"/>
          <w:sz w:val="34"/>
          <w:szCs w:val="34"/>
          <w:rtl/>
        </w:rPr>
        <w:t>ُ</w:t>
      </w:r>
      <w:r w:rsidRPr="00FD750B">
        <w:rPr>
          <w:rFonts w:ascii="mylotus" w:hAnsi="mylotus"/>
          <w:sz w:val="34"/>
          <w:szCs w:val="34"/>
          <w:rtl/>
        </w:rPr>
        <w:t>ستأج</w:t>
      </w:r>
      <w:r w:rsidR="0030472F">
        <w:rPr>
          <w:rFonts w:ascii="mylotus" w:hAnsi="mylotus" w:hint="cs"/>
          <w:sz w:val="34"/>
          <w:szCs w:val="34"/>
          <w:rtl/>
        </w:rPr>
        <w:t>ِ</w:t>
      </w:r>
      <w:r w:rsidRPr="00FD750B">
        <w:rPr>
          <w:rFonts w:ascii="mylotus" w:hAnsi="mylotus"/>
          <w:sz w:val="34"/>
          <w:szCs w:val="34"/>
          <w:rtl/>
        </w:rPr>
        <w:t>ر، وإن لوحظت النسبة الثانية فهي س</w:t>
      </w:r>
      <w:r w:rsidR="0030472F">
        <w:rPr>
          <w:rFonts w:ascii="mylotus" w:hAnsi="mylotus" w:hint="cs"/>
          <w:sz w:val="34"/>
          <w:szCs w:val="34"/>
          <w:rtl/>
        </w:rPr>
        <w:t>ُ</w:t>
      </w:r>
      <w:r w:rsidRPr="00FD750B">
        <w:rPr>
          <w:rFonts w:ascii="mylotus" w:hAnsi="mylotus"/>
          <w:sz w:val="34"/>
          <w:szCs w:val="34"/>
          <w:rtl/>
        </w:rPr>
        <w:t>كنى المنتفع نفسه لا</w:t>
      </w:r>
      <w:r w:rsidR="0030472F">
        <w:rPr>
          <w:rFonts w:ascii="mylotus" w:hAnsi="mylotus" w:hint="cs"/>
          <w:sz w:val="34"/>
          <w:szCs w:val="34"/>
          <w:rtl/>
        </w:rPr>
        <w:t xml:space="preserve"> </w:t>
      </w:r>
      <w:r w:rsidRPr="00FD750B">
        <w:rPr>
          <w:rFonts w:ascii="mylotus" w:hAnsi="mylotus"/>
          <w:sz w:val="34"/>
          <w:szCs w:val="34"/>
          <w:rtl/>
        </w:rPr>
        <w:t>غيره</w:t>
      </w:r>
      <w:r w:rsidR="0030472F">
        <w:rPr>
          <w:rFonts w:ascii="mylotus" w:hAnsi="mylotus" w:hint="cs"/>
          <w:sz w:val="34"/>
          <w:szCs w:val="34"/>
          <w:rtl/>
        </w:rPr>
        <w:t>.</w:t>
      </w:r>
    </w:p>
    <w:p w14:paraId="5CA5E23D" w14:textId="51A71FD3" w:rsidR="0030472F" w:rsidRDefault="00FD750B" w:rsidP="0030472F">
      <w:pPr>
        <w:pStyle w:val="a0"/>
        <w:bidi/>
        <w:spacing w:line="216" w:lineRule="auto"/>
        <w:rPr>
          <w:rFonts w:ascii="mylotus" w:hAnsi="mylotus"/>
          <w:sz w:val="34"/>
          <w:szCs w:val="34"/>
          <w:rtl/>
        </w:rPr>
      </w:pPr>
      <w:r w:rsidRPr="0030472F">
        <w:rPr>
          <w:rFonts w:ascii="mylotus" w:hAnsi="mylotus"/>
          <w:b/>
          <w:bCs/>
          <w:sz w:val="34"/>
          <w:szCs w:val="34"/>
          <w:rtl/>
        </w:rPr>
        <w:t>وبعبارة أخرى:</w:t>
      </w:r>
      <w:r w:rsidRPr="00FD750B">
        <w:rPr>
          <w:rFonts w:ascii="mylotus" w:hAnsi="mylotus"/>
          <w:sz w:val="34"/>
          <w:szCs w:val="34"/>
          <w:rtl/>
        </w:rPr>
        <w:t xml:space="preserve"> إن النقل أو التمليك أو التبديل الصادر من المُؤجِر إما أن يتعلق بطبيعي السُكنى بغض النظر عن سُكنى المُستأج</w:t>
      </w:r>
      <w:r w:rsidR="0030472F">
        <w:rPr>
          <w:rFonts w:ascii="mylotus" w:hAnsi="mylotus" w:hint="cs"/>
          <w:sz w:val="34"/>
          <w:szCs w:val="34"/>
          <w:rtl/>
        </w:rPr>
        <w:t>ِ</w:t>
      </w:r>
      <w:r w:rsidRPr="00FD750B">
        <w:rPr>
          <w:rFonts w:ascii="mylotus" w:hAnsi="mylotus"/>
          <w:sz w:val="34"/>
          <w:szCs w:val="34"/>
          <w:rtl/>
        </w:rPr>
        <w:t>ر، كأن يقول المُؤجِرُ للمُستأج</w:t>
      </w:r>
      <w:r w:rsidR="0030472F">
        <w:rPr>
          <w:rFonts w:ascii="mylotus" w:hAnsi="mylotus" w:hint="cs"/>
          <w:sz w:val="34"/>
          <w:szCs w:val="34"/>
          <w:rtl/>
        </w:rPr>
        <w:t>ِ</w:t>
      </w:r>
      <w:r w:rsidRPr="00FD750B">
        <w:rPr>
          <w:rFonts w:ascii="mylotus" w:hAnsi="mylotus"/>
          <w:sz w:val="34"/>
          <w:szCs w:val="34"/>
          <w:rtl/>
        </w:rPr>
        <w:t>ر: (ملكتُك طبيعي السُكنى في هذه المدة سكنتَ أ</w:t>
      </w:r>
      <w:r w:rsidR="008A6A7D">
        <w:rPr>
          <w:rFonts w:ascii="mylotus" w:hAnsi="mylotus"/>
          <w:sz w:val="34"/>
          <w:szCs w:val="34"/>
          <w:rtl/>
        </w:rPr>
        <w:t>نت أم غيرك، انتفعت أم لم تنتفع)</w:t>
      </w:r>
      <w:r w:rsidRPr="00FD750B">
        <w:rPr>
          <w:rFonts w:ascii="mylotus" w:hAnsi="mylotus"/>
          <w:sz w:val="34"/>
          <w:szCs w:val="34"/>
          <w:rtl/>
        </w:rPr>
        <w:t>، فهذا ما يعبر عنه بتمليك المنفعة، وأثر ذلك أن للمُستأجِر أن ينقل ما مَلَك إلى غيره بصلحٍ أو بإجارةٍ.</w:t>
      </w:r>
    </w:p>
    <w:p w14:paraId="23E78E13" w14:textId="77777777"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t>أو أن الصادر من مالك الدار هو تمليك أو نقل الانتفاع القائم بشخص المنتفع، كأن يقول له: (ملكتُك سُكناك) لا (طبيعي السُكنى)، أو (ملكتُك ركوبك السيارة) لا مطلق الركوب، وأثره أنه لا</w:t>
      </w:r>
      <w:r w:rsidR="0030472F">
        <w:rPr>
          <w:rFonts w:ascii="mylotus" w:hAnsi="mylotus" w:hint="cs"/>
          <w:sz w:val="34"/>
          <w:szCs w:val="34"/>
          <w:rtl/>
        </w:rPr>
        <w:t xml:space="preserve"> </w:t>
      </w:r>
      <w:r w:rsidRPr="00FD750B">
        <w:rPr>
          <w:rFonts w:ascii="mylotus" w:hAnsi="mylotus"/>
          <w:sz w:val="34"/>
          <w:szCs w:val="34"/>
          <w:rtl/>
        </w:rPr>
        <w:t>يورث ولا</w:t>
      </w:r>
      <w:r w:rsidR="0030472F">
        <w:rPr>
          <w:rFonts w:ascii="mylotus" w:hAnsi="mylotus" w:hint="cs"/>
          <w:sz w:val="34"/>
          <w:szCs w:val="34"/>
          <w:rtl/>
        </w:rPr>
        <w:t xml:space="preserve"> </w:t>
      </w:r>
      <w:r w:rsidRPr="00FD750B">
        <w:rPr>
          <w:rFonts w:ascii="mylotus" w:hAnsi="mylotus"/>
          <w:sz w:val="34"/>
          <w:szCs w:val="34"/>
          <w:rtl/>
        </w:rPr>
        <w:t>يقبل النقل لغيره؛ لأنّ مُتعلق التمليك سُكناهُ لا طبيعي السُكنى.</w:t>
      </w:r>
    </w:p>
    <w:p w14:paraId="14B8CC5D" w14:textId="77777777"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t>نعم، لو اشترط في عقد الإجارة عدم انتقال المنفعة لغيره، كما لو قال: (ملكتُك سُكنى الدار وأشترط عليك أن تستوفي السُكنى بنفسك لا بغيرك)، فهنا لا يعني اِتحاد مِلك المنفعة ومِلك الانتفاع؛ باعتبار أن الشرط خارجٌ عن إطار المُنشأ المعاملي، فإن المُنشأ المعاملي هو تمليك السُكنى، واشتراط أن لا يستوفيّ السُكنى غيره أمر خارجٌ عن حدود المُنشأ، ولذلك فأثر الشرط أنه لو تخلف لكان للمُؤجِر خيار تخلف الشرط لا</w:t>
      </w:r>
      <w:r w:rsidR="0030472F">
        <w:rPr>
          <w:rFonts w:ascii="mylotus" w:hAnsi="mylotus" w:hint="cs"/>
          <w:sz w:val="34"/>
          <w:szCs w:val="34"/>
          <w:rtl/>
        </w:rPr>
        <w:t xml:space="preserve"> </w:t>
      </w:r>
      <w:r w:rsidRPr="00FD750B">
        <w:rPr>
          <w:rFonts w:ascii="mylotus" w:hAnsi="mylotus"/>
          <w:sz w:val="34"/>
          <w:szCs w:val="34"/>
          <w:rtl/>
        </w:rPr>
        <w:t>بطلان الإجارة.</w:t>
      </w:r>
    </w:p>
    <w:p w14:paraId="651EE3DD" w14:textId="77777777"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lastRenderedPageBreak/>
        <w:t>حيث إن طبيعة عقد الإجارة هي تمليك المنفعة لا تمليك الانتفاع، ولا يتغير مُقتضى العقد بالشرط ما دام الشرط خارجاً عن إطار نفس المُنشأ المعاملي.</w:t>
      </w:r>
    </w:p>
    <w:p w14:paraId="04B24609" w14:textId="2065DF12" w:rsidR="0030472F" w:rsidRDefault="00FD750B" w:rsidP="0030472F">
      <w:pPr>
        <w:pStyle w:val="a0"/>
        <w:bidi/>
        <w:spacing w:line="216" w:lineRule="auto"/>
        <w:rPr>
          <w:rFonts w:ascii="mylotus" w:hAnsi="mylotus"/>
          <w:sz w:val="34"/>
          <w:szCs w:val="34"/>
          <w:rtl/>
        </w:rPr>
      </w:pPr>
      <w:r w:rsidRPr="0030472F">
        <w:rPr>
          <w:rFonts w:ascii="mylotus" w:hAnsi="mylotus"/>
          <w:b/>
          <w:bCs/>
          <w:sz w:val="34"/>
          <w:szCs w:val="34"/>
          <w:rtl/>
        </w:rPr>
        <w:t>ولكن:</w:t>
      </w:r>
      <w:r w:rsidRPr="00FD750B">
        <w:rPr>
          <w:rFonts w:ascii="mylotus" w:hAnsi="mylotus"/>
          <w:sz w:val="34"/>
          <w:szCs w:val="34"/>
          <w:rtl/>
        </w:rPr>
        <w:t xml:space="preserve"> ما أُفيد </w:t>
      </w:r>
      <w:r w:rsidR="008A6A7D">
        <w:rPr>
          <w:rFonts w:ascii="mylotus" w:hAnsi="mylotus" w:hint="cs"/>
          <w:sz w:val="34"/>
          <w:szCs w:val="34"/>
          <w:rtl/>
        </w:rPr>
        <w:t>-</w:t>
      </w:r>
      <w:r w:rsidRPr="00FD750B">
        <w:rPr>
          <w:rFonts w:ascii="mylotus" w:hAnsi="mylotus"/>
          <w:sz w:val="34"/>
          <w:szCs w:val="34"/>
          <w:rtl/>
        </w:rPr>
        <w:t xml:space="preserve"> </w:t>
      </w:r>
      <w:r w:rsidRPr="00FD750B">
        <w:rPr>
          <w:rFonts w:ascii="mylotus" w:hAnsi="mylotus" w:hint="cs"/>
          <w:sz w:val="34"/>
          <w:szCs w:val="34"/>
          <w:rtl/>
        </w:rPr>
        <w:t>من</w:t>
      </w:r>
      <w:r w:rsidRPr="00FD750B">
        <w:rPr>
          <w:rFonts w:ascii="mylotus" w:hAnsi="mylotus"/>
          <w:sz w:val="34"/>
          <w:szCs w:val="34"/>
          <w:rtl/>
        </w:rPr>
        <w:t xml:space="preserve"> </w:t>
      </w:r>
      <w:r w:rsidRPr="00FD750B">
        <w:rPr>
          <w:rFonts w:ascii="mylotus" w:hAnsi="mylotus" w:hint="cs"/>
          <w:sz w:val="34"/>
          <w:szCs w:val="34"/>
          <w:rtl/>
        </w:rPr>
        <w:t>المحقق</w:t>
      </w:r>
      <w:r w:rsidRPr="00FD750B">
        <w:rPr>
          <w:rFonts w:ascii="mylotus" w:hAnsi="mylotus"/>
          <w:sz w:val="34"/>
          <w:szCs w:val="34"/>
          <w:rtl/>
        </w:rPr>
        <w:t xml:space="preserve"> </w:t>
      </w:r>
      <w:r w:rsidRPr="00FD750B">
        <w:rPr>
          <w:rFonts w:ascii="mylotus" w:hAnsi="mylotus" w:hint="cs"/>
          <w:sz w:val="34"/>
          <w:szCs w:val="34"/>
          <w:rtl/>
        </w:rPr>
        <w:t>الإصفهاني</w:t>
      </w:r>
      <w:r w:rsidRPr="00FD750B">
        <w:rPr>
          <w:rFonts w:ascii="mylotus" w:hAnsi="mylotus"/>
          <w:sz w:val="34"/>
          <w:szCs w:val="34"/>
          <w:rtl/>
        </w:rPr>
        <w:t xml:space="preserve"> </w:t>
      </w:r>
      <w:r w:rsidRPr="00FD750B">
        <w:rPr>
          <w:rFonts w:ascii="mylotus" w:hAnsi="mylotus" w:hint="cs"/>
          <w:sz w:val="34"/>
          <w:szCs w:val="34"/>
          <w:rtl/>
        </w:rPr>
        <w:t>قدس</w:t>
      </w:r>
      <w:r w:rsidRPr="00FD750B">
        <w:rPr>
          <w:rFonts w:ascii="mylotus" w:hAnsi="mylotus"/>
          <w:sz w:val="34"/>
          <w:szCs w:val="34"/>
          <w:rtl/>
        </w:rPr>
        <w:t xml:space="preserve"> </w:t>
      </w:r>
      <w:r w:rsidRPr="00FD750B">
        <w:rPr>
          <w:rFonts w:ascii="mylotus" w:hAnsi="mylotus" w:hint="cs"/>
          <w:sz w:val="34"/>
          <w:szCs w:val="34"/>
          <w:rtl/>
        </w:rPr>
        <w:t>سره</w:t>
      </w:r>
      <w:r w:rsidRPr="00FD750B">
        <w:rPr>
          <w:rFonts w:ascii="mylotus" w:hAnsi="mylotus"/>
          <w:sz w:val="34"/>
          <w:szCs w:val="34"/>
          <w:rtl/>
        </w:rPr>
        <w:t xml:space="preserve"> </w:t>
      </w:r>
      <w:r w:rsidRPr="00FD750B">
        <w:rPr>
          <w:rFonts w:ascii="mylotus" w:hAnsi="mylotus" w:hint="cs"/>
          <w:sz w:val="34"/>
          <w:szCs w:val="34"/>
          <w:rtl/>
        </w:rPr>
        <w:t>الشريف</w:t>
      </w:r>
      <w:r w:rsidRPr="00FD750B">
        <w:rPr>
          <w:rFonts w:ascii="mylotus" w:hAnsi="mylotus"/>
          <w:sz w:val="34"/>
          <w:szCs w:val="34"/>
          <w:rtl/>
        </w:rPr>
        <w:t xml:space="preserve"> - </w:t>
      </w:r>
      <w:r w:rsidRPr="00FD750B">
        <w:rPr>
          <w:rFonts w:ascii="mylotus" w:hAnsi="mylotus" w:hint="cs"/>
          <w:sz w:val="34"/>
          <w:szCs w:val="34"/>
          <w:rtl/>
        </w:rPr>
        <w:t>من</w:t>
      </w:r>
      <w:r w:rsidRPr="00FD750B">
        <w:rPr>
          <w:rFonts w:ascii="mylotus" w:hAnsi="mylotus"/>
          <w:sz w:val="34"/>
          <w:szCs w:val="34"/>
          <w:rtl/>
        </w:rPr>
        <w:t xml:space="preserve"> </w:t>
      </w:r>
      <w:r w:rsidRPr="00FD750B">
        <w:rPr>
          <w:rFonts w:ascii="mylotus" w:hAnsi="mylotus" w:hint="cs"/>
          <w:sz w:val="34"/>
          <w:szCs w:val="34"/>
          <w:rtl/>
        </w:rPr>
        <w:t>الفرق</w:t>
      </w:r>
      <w:r w:rsidRPr="00FD750B">
        <w:rPr>
          <w:rFonts w:ascii="mylotus" w:hAnsi="mylotus"/>
          <w:sz w:val="34"/>
          <w:szCs w:val="34"/>
          <w:rtl/>
        </w:rPr>
        <w:t xml:space="preserve"> </w:t>
      </w:r>
      <w:r w:rsidRPr="00FD750B">
        <w:rPr>
          <w:rFonts w:ascii="mylotus" w:hAnsi="mylotus" w:hint="cs"/>
          <w:sz w:val="34"/>
          <w:szCs w:val="34"/>
          <w:rtl/>
        </w:rPr>
        <w:t>ليس</w:t>
      </w:r>
      <w:r w:rsidRPr="00FD750B">
        <w:rPr>
          <w:rFonts w:ascii="mylotus" w:hAnsi="mylotus"/>
          <w:sz w:val="34"/>
          <w:szCs w:val="34"/>
          <w:rtl/>
        </w:rPr>
        <w:t xml:space="preserve"> </w:t>
      </w:r>
      <w:r w:rsidRPr="00FD750B">
        <w:rPr>
          <w:rFonts w:ascii="mylotus" w:hAnsi="mylotus" w:hint="cs"/>
          <w:sz w:val="34"/>
          <w:szCs w:val="34"/>
          <w:rtl/>
        </w:rPr>
        <w:t>بظاهر،</w:t>
      </w:r>
      <w:r w:rsidRPr="00FD750B">
        <w:rPr>
          <w:rFonts w:ascii="mylotus" w:hAnsi="mylotus"/>
          <w:sz w:val="34"/>
          <w:szCs w:val="34"/>
          <w:rtl/>
        </w:rPr>
        <w:t xml:space="preserve"> </w:t>
      </w:r>
      <w:r w:rsidRPr="00FD750B">
        <w:rPr>
          <w:rFonts w:ascii="mylotus" w:hAnsi="mylotus" w:hint="cs"/>
          <w:sz w:val="34"/>
          <w:szCs w:val="34"/>
          <w:rtl/>
        </w:rPr>
        <w:t>فإن</w:t>
      </w:r>
      <w:r w:rsidRPr="00FD750B">
        <w:rPr>
          <w:rFonts w:ascii="mylotus" w:hAnsi="mylotus"/>
          <w:sz w:val="34"/>
          <w:szCs w:val="34"/>
          <w:rtl/>
        </w:rPr>
        <w:t xml:space="preserve"> </w:t>
      </w:r>
      <w:r w:rsidRPr="00FD750B">
        <w:rPr>
          <w:rFonts w:ascii="mylotus" w:hAnsi="mylotus" w:hint="cs"/>
          <w:sz w:val="34"/>
          <w:szCs w:val="34"/>
          <w:rtl/>
        </w:rPr>
        <w:t>سعة</w:t>
      </w:r>
      <w:r w:rsidRPr="00FD750B">
        <w:rPr>
          <w:rFonts w:ascii="mylotus" w:hAnsi="mylotus"/>
          <w:sz w:val="34"/>
          <w:szCs w:val="34"/>
          <w:rtl/>
        </w:rPr>
        <w:t xml:space="preserve"> </w:t>
      </w:r>
      <w:r w:rsidRPr="00FD750B">
        <w:rPr>
          <w:rFonts w:ascii="mylotus" w:hAnsi="mylotus" w:hint="cs"/>
          <w:sz w:val="34"/>
          <w:szCs w:val="34"/>
          <w:rtl/>
        </w:rPr>
        <w:t>المملوك</w:t>
      </w:r>
      <w:r w:rsidRPr="00FD750B">
        <w:rPr>
          <w:rFonts w:ascii="mylotus" w:hAnsi="mylotus"/>
          <w:sz w:val="34"/>
          <w:szCs w:val="34"/>
          <w:rtl/>
        </w:rPr>
        <w:t xml:space="preserve"> </w:t>
      </w:r>
      <w:r w:rsidRPr="00FD750B">
        <w:rPr>
          <w:rFonts w:ascii="mylotus" w:hAnsi="mylotus" w:hint="cs"/>
          <w:sz w:val="34"/>
          <w:szCs w:val="34"/>
          <w:rtl/>
        </w:rPr>
        <w:t>تابعٌ</w:t>
      </w:r>
      <w:r w:rsidRPr="00FD750B">
        <w:rPr>
          <w:rFonts w:ascii="mylotus" w:hAnsi="mylotus"/>
          <w:sz w:val="34"/>
          <w:szCs w:val="34"/>
          <w:rtl/>
        </w:rPr>
        <w:t xml:space="preserve"> </w:t>
      </w:r>
      <w:r w:rsidRPr="00FD750B">
        <w:rPr>
          <w:rFonts w:ascii="mylotus" w:hAnsi="mylotus" w:hint="cs"/>
          <w:sz w:val="34"/>
          <w:szCs w:val="34"/>
          <w:rtl/>
        </w:rPr>
        <w:t>لسعة</w:t>
      </w:r>
      <w:r w:rsidRPr="00FD750B">
        <w:rPr>
          <w:rFonts w:ascii="mylotus" w:hAnsi="mylotus"/>
          <w:sz w:val="34"/>
          <w:szCs w:val="34"/>
          <w:rtl/>
        </w:rPr>
        <w:t xml:space="preserve"> </w:t>
      </w:r>
      <w:r w:rsidRPr="00FD750B">
        <w:rPr>
          <w:rFonts w:ascii="mylotus" w:hAnsi="mylotus" w:hint="cs"/>
          <w:sz w:val="34"/>
          <w:szCs w:val="34"/>
          <w:rtl/>
        </w:rPr>
        <w:t>المُنشأ</w:t>
      </w:r>
      <w:r w:rsidRPr="00FD750B">
        <w:rPr>
          <w:rFonts w:ascii="mylotus" w:hAnsi="mylotus"/>
          <w:sz w:val="34"/>
          <w:szCs w:val="34"/>
          <w:rtl/>
        </w:rPr>
        <w:t xml:space="preserve"> </w:t>
      </w:r>
      <w:r w:rsidRPr="00FD750B">
        <w:rPr>
          <w:rFonts w:ascii="mylotus" w:hAnsi="mylotus" w:hint="cs"/>
          <w:sz w:val="34"/>
          <w:szCs w:val="34"/>
          <w:rtl/>
        </w:rPr>
        <w:t>وضيقه،</w:t>
      </w:r>
      <w:r w:rsidRPr="00FD750B">
        <w:rPr>
          <w:rFonts w:ascii="mylotus" w:hAnsi="mylotus"/>
          <w:sz w:val="34"/>
          <w:szCs w:val="34"/>
          <w:rtl/>
        </w:rPr>
        <w:t xml:space="preserve"> </w:t>
      </w:r>
      <w:r w:rsidRPr="00FD750B">
        <w:rPr>
          <w:rFonts w:ascii="mylotus" w:hAnsi="mylotus" w:hint="cs"/>
          <w:sz w:val="34"/>
          <w:szCs w:val="34"/>
          <w:rtl/>
        </w:rPr>
        <w:t>فقد</w:t>
      </w:r>
      <w:r w:rsidRPr="00FD750B">
        <w:rPr>
          <w:rFonts w:ascii="mylotus" w:hAnsi="mylotus"/>
          <w:sz w:val="34"/>
          <w:szCs w:val="34"/>
          <w:rtl/>
        </w:rPr>
        <w:t xml:space="preserve"> </w:t>
      </w:r>
      <w:r w:rsidRPr="00FD750B">
        <w:rPr>
          <w:rFonts w:ascii="mylotus" w:hAnsi="mylotus" w:hint="cs"/>
          <w:sz w:val="34"/>
          <w:szCs w:val="34"/>
          <w:rtl/>
        </w:rPr>
        <w:t>تقع</w:t>
      </w:r>
      <w:r w:rsidRPr="00FD750B">
        <w:rPr>
          <w:rFonts w:ascii="mylotus" w:hAnsi="mylotus"/>
          <w:sz w:val="34"/>
          <w:szCs w:val="34"/>
          <w:rtl/>
        </w:rPr>
        <w:t xml:space="preserve"> </w:t>
      </w:r>
      <w:r w:rsidRPr="00FD750B">
        <w:rPr>
          <w:rFonts w:ascii="mylotus" w:hAnsi="mylotus" w:hint="cs"/>
          <w:sz w:val="34"/>
          <w:szCs w:val="34"/>
          <w:rtl/>
        </w:rPr>
        <w:t>المبادلة</w:t>
      </w:r>
      <w:r w:rsidRPr="00FD750B">
        <w:rPr>
          <w:rFonts w:ascii="mylotus" w:hAnsi="mylotus"/>
          <w:sz w:val="34"/>
          <w:szCs w:val="34"/>
          <w:rtl/>
        </w:rPr>
        <w:t xml:space="preserve"> </w:t>
      </w:r>
      <w:r w:rsidRPr="00FD750B">
        <w:rPr>
          <w:rFonts w:ascii="mylotus" w:hAnsi="mylotus" w:hint="cs"/>
          <w:sz w:val="34"/>
          <w:szCs w:val="34"/>
          <w:rtl/>
        </w:rPr>
        <w:t>أو</w:t>
      </w:r>
      <w:r w:rsidRPr="00FD750B">
        <w:rPr>
          <w:rFonts w:ascii="mylotus" w:hAnsi="mylotus"/>
          <w:sz w:val="34"/>
          <w:szCs w:val="34"/>
          <w:rtl/>
        </w:rPr>
        <w:t xml:space="preserve"> </w:t>
      </w:r>
      <w:r w:rsidRPr="00FD750B">
        <w:rPr>
          <w:rFonts w:ascii="mylotus" w:hAnsi="mylotus" w:hint="cs"/>
          <w:sz w:val="34"/>
          <w:szCs w:val="34"/>
          <w:rtl/>
        </w:rPr>
        <w:t>التمليك</w:t>
      </w:r>
      <w:r w:rsidRPr="00FD750B">
        <w:rPr>
          <w:rFonts w:ascii="mylotus" w:hAnsi="mylotus"/>
          <w:sz w:val="34"/>
          <w:szCs w:val="34"/>
          <w:rtl/>
        </w:rPr>
        <w:t xml:space="preserve"> </w:t>
      </w:r>
      <w:r w:rsidRPr="00FD750B">
        <w:rPr>
          <w:rFonts w:ascii="mylotus" w:hAnsi="mylotus" w:hint="cs"/>
          <w:sz w:val="34"/>
          <w:szCs w:val="34"/>
          <w:rtl/>
        </w:rPr>
        <w:t>على</w:t>
      </w:r>
      <w:r w:rsidRPr="00FD750B">
        <w:rPr>
          <w:rFonts w:ascii="mylotus" w:hAnsi="mylotus"/>
          <w:sz w:val="34"/>
          <w:szCs w:val="34"/>
          <w:rtl/>
        </w:rPr>
        <w:t xml:space="preserve"> </w:t>
      </w:r>
      <w:r w:rsidRPr="00FD750B">
        <w:rPr>
          <w:rFonts w:ascii="mylotus" w:hAnsi="mylotus" w:hint="cs"/>
          <w:sz w:val="34"/>
          <w:szCs w:val="34"/>
          <w:rtl/>
        </w:rPr>
        <w:t>طبيعيّ</w:t>
      </w:r>
      <w:r w:rsidRPr="00FD750B">
        <w:rPr>
          <w:rFonts w:ascii="mylotus" w:hAnsi="mylotus"/>
          <w:sz w:val="34"/>
          <w:szCs w:val="34"/>
          <w:rtl/>
        </w:rPr>
        <w:t xml:space="preserve"> </w:t>
      </w:r>
      <w:r w:rsidRPr="00FD750B">
        <w:rPr>
          <w:rFonts w:ascii="mylotus" w:hAnsi="mylotus" w:hint="cs"/>
          <w:sz w:val="34"/>
          <w:szCs w:val="34"/>
          <w:rtl/>
        </w:rPr>
        <w:t>السُكنى</w:t>
      </w:r>
      <w:r w:rsidRPr="00FD750B">
        <w:rPr>
          <w:rFonts w:ascii="mylotus" w:hAnsi="mylotus"/>
          <w:sz w:val="34"/>
          <w:szCs w:val="34"/>
          <w:rtl/>
        </w:rPr>
        <w:t xml:space="preserve"> </w:t>
      </w:r>
      <w:r w:rsidRPr="00FD750B">
        <w:rPr>
          <w:rFonts w:ascii="mylotus" w:hAnsi="mylotus" w:hint="cs"/>
          <w:sz w:val="34"/>
          <w:szCs w:val="34"/>
          <w:rtl/>
        </w:rPr>
        <w:t>وهو</w:t>
      </w:r>
      <w:r w:rsidRPr="00FD750B">
        <w:rPr>
          <w:rFonts w:ascii="mylotus" w:hAnsi="mylotus"/>
          <w:sz w:val="34"/>
          <w:szCs w:val="34"/>
          <w:rtl/>
        </w:rPr>
        <w:t xml:space="preserve"> </w:t>
      </w:r>
      <w:r w:rsidRPr="00FD750B">
        <w:rPr>
          <w:rFonts w:ascii="mylotus" w:hAnsi="mylotus" w:hint="cs"/>
          <w:sz w:val="34"/>
          <w:szCs w:val="34"/>
          <w:rtl/>
        </w:rPr>
        <w:t>إجارة،</w:t>
      </w:r>
      <w:r w:rsidRPr="00FD750B">
        <w:rPr>
          <w:rFonts w:ascii="mylotus" w:hAnsi="mylotus"/>
          <w:sz w:val="34"/>
          <w:szCs w:val="34"/>
          <w:rtl/>
        </w:rPr>
        <w:t xml:space="preserve"> </w:t>
      </w:r>
      <w:r w:rsidRPr="00FD750B">
        <w:rPr>
          <w:rFonts w:ascii="mylotus" w:hAnsi="mylotus" w:hint="cs"/>
          <w:sz w:val="34"/>
          <w:szCs w:val="34"/>
          <w:rtl/>
        </w:rPr>
        <w:t>وقد</w:t>
      </w:r>
      <w:r w:rsidRPr="00FD750B">
        <w:rPr>
          <w:rFonts w:ascii="mylotus" w:hAnsi="mylotus"/>
          <w:sz w:val="34"/>
          <w:szCs w:val="34"/>
          <w:rtl/>
        </w:rPr>
        <w:t xml:space="preserve"> </w:t>
      </w:r>
      <w:r w:rsidRPr="00FD750B">
        <w:rPr>
          <w:rFonts w:ascii="mylotus" w:hAnsi="mylotus" w:hint="cs"/>
          <w:sz w:val="34"/>
          <w:szCs w:val="34"/>
          <w:rtl/>
        </w:rPr>
        <w:t>تقع</w:t>
      </w:r>
      <w:r w:rsidRPr="00FD750B">
        <w:rPr>
          <w:rFonts w:ascii="mylotus" w:hAnsi="mylotus"/>
          <w:sz w:val="34"/>
          <w:szCs w:val="34"/>
          <w:rtl/>
        </w:rPr>
        <w:t xml:space="preserve"> </w:t>
      </w:r>
      <w:r w:rsidRPr="00FD750B">
        <w:rPr>
          <w:rFonts w:ascii="mylotus" w:hAnsi="mylotus" w:hint="cs"/>
          <w:sz w:val="34"/>
          <w:szCs w:val="34"/>
          <w:rtl/>
        </w:rPr>
        <w:t>من</w:t>
      </w:r>
      <w:r w:rsidRPr="00FD750B">
        <w:rPr>
          <w:rFonts w:ascii="mylotus" w:hAnsi="mylotus"/>
          <w:sz w:val="34"/>
          <w:szCs w:val="34"/>
          <w:rtl/>
        </w:rPr>
        <w:t xml:space="preserve"> </w:t>
      </w:r>
      <w:r w:rsidRPr="00FD750B">
        <w:rPr>
          <w:rFonts w:ascii="mylotus" w:hAnsi="mylotus" w:hint="cs"/>
          <w:sz w:val="34"/>
          <w:szCs w:val="34"/>
          <w:rtl/>
        </w:rPr>
        <w:t>الأصل</w:t>
      </w:r>
      <w:r w:rsidRPr="00FD750B">
        <w:rPr>
          <w:rFonts w:ascii="mylotus" w:hAnsi="mylotus"/>
          <w:sz w:val="34"/>
          <w:szCs w:val="34"/>
          <w:rtl/>
        </w:rPr>
        <w:t xml:space="preserve"> </w:t>
      </w:r>
      <w:r w:rsidRPr="00FD750B">
        <w:rPr>
          <w:rFonts w:ascii="mylotus" w:hAnsi="mylotus" w:hint="cs"/>
          <w:sz w:val="34"/>
          <w:szCs w:val="34"/>
          <w:rtl/>
        </w:rPr>
        <w:t>على</w:t>
      </w:r>
      <w:r w:rsidRPr="00FD750B">
        <w:rPr>
          <w:rFonts w:ascii="mylotus" w:hAnsi="mylotus"/>
          <w:sz w:val="34"/>
          <w:szCs w:val="34"/>
          <w:rtl/>
        </w:rPr>
        <w:t xml:space="preserve"> </w:t>
      </w:r>
      <w:r w:rsidRPr="00FD750B">
        <w:rPr>
          <w:rFonts w:ascii="mylotus" w:hAnsi="mylotus" w:hint="cs"/>
          <w:sz w:val="34"/>
          <w:szCs w:val="34"/>
          <w:rtl/>
        </w:rPr>
        <w:t>الحصة</w:t>
      </w:r>
      <w:r w:rsidRPr="00FD750B">
        <w:rPr>
          <w:rFonts w:ascii="mylotus" w:hAnsi="mylotus"/>
          <w:sz w:val="34"/>
          <w:szCs w:val="34"/>
          <w:rtl/>
        </w:rPr>
        <w:t xml:space="preserve"> </w:t>
      </w:r>
      <w:r w:rsidRPr="00FD750B">
        <w:rPr>
          <w:rFonts w:ascii="mylotus" w:hAnsi="mylotus" w:hint="cs"/>
          <w:sz w:val="34"/>
          <w:szCs w:val="34"/>
          <w:rtl/>
        </w:rPr>
        <w:t>وهي</w:t>
      </w:r>
      <w:r w:rsidRPr="00FD750B">
        <w:rPr>
          <w:rFonts w:ascii="mylotus" w:hAnsi="mylotus"/>
          <w:sz w:val="34"/>
          <w:szCs w:val="34"/>
          <w:rtl/>
        </w:rPr>
        <w:t xml:space="preserve"> </w:t>
      </w:r>
      <w:r w:rsidRPr="00FD750B">
        <w:rPr>
          <w:rFonts w:ascii="mylotus" w:hAnsi="mylotus" w:hint="cs"/>
          <w:sz w:val="34"/>
          <w:szCs w:val="34"/>
          <w:rtl/>
        </w:rPr>
        <w:t>سكنى</w:t>
      </w:r>
      <w:r w:rsidRPr="00FD750B">
        <w:rPr>
          <w:rFonts w:ascii="mylotus" w:hAnsi="mylotus"/>
          <w:sz w:val="34"/>
          <w:szCs w:val="34"/>
          <w:rtl/>
        </w:rPr>
        <w:t xml:space="preserve"> </w:t>
      </w:r>
      <w:r w:rsidRPr="00FD750B">
        <w:rPr>
          <w:rFonts w:ascii="mylotus" w:hAnsi="mylotus" w:hint="cs"/>
          <w:sz w:val="34"/>
          <w:szCs w:val="34"/>
          <w:rtl/>
        </w:rPr>
        <w:t>المنتفع</w:t>
      </w:r>
      <w:r w:rsidRPr="00FD750B">
        <w:rPr>
          <w:rFonts w:ascii="mylotus" w:hAnsi="mylotus"/>
          <w:sz w:val="34"/>
          <w:szCs w:val="34"/>
          <w:rtl/>
        </w:rPr>
        <w:t xml:space="preserve"> </w:t>
      </w:r>
      <w:r w:rsidRPr="00FD750B">
        <w:rPr>
          <w:rFonts w:ascii="mylotus" w:hAnsi="mylotus" w:hint="cs"/>
          <w:sz w:val="34"/>
          <w:szCs w:val="34"/>
          <w:rtl/>
        </w:rPr>
        <w:t>دون</w:t>
      </w:r>
      <w:r w:rsidRPr="00FD750B">
        <w:rPr>
          <w:rFonts w:ascii="mylotus" w:hAnsi="mylotus"/>
          <w:sz w:val="34"/>
          <w:szCs w:val="34"/>
          <w:rtl/>
        </w:rPr>
        <w:t xml:space="preserve"> </w:t>
      </w:r>
      <w:r w:rsidRPr="00FD750B">
        <w:rPr>
          <w:rFonts w:ascii="mylotus" w:hAnsi="mylotus" w:hint="cs"/>
          <w:sz w:val="34"/>
          <w:szCs w:val="34"/>
          <w:rtl/>
        </w:rPr>
        <w:t>غيره</w:t>
      </w:r>
      <w:r w:rsidRPr="00FD750B">
        <w:rPr>
          <w:rFonts w:ascii="mylotus" w:hAnsi="mylotus"/>
          <w:sz w:val="34"/>
          <w:szCs w:val="34"/>
          <w:rtl/>
        </w:rPr>
        <w:t xml:space="preserve"> </w:t>
      </w:r>
      <w:r w:rsidRPr="00FD750B">
        <w:rPr>
          <w:rFonts w:ascii="mylotus" w:hAnsi="mylotus" w:hint="cs"/>
          <w:sz w:val="34"/>
          <w:szCs w:val="34"/>
          <w:rtl/>
        </w:rPr>
        <w:t>وهو</w:t>
      </w:r>
      <w:r w:rsidRPr="00FD750B">
        <w:rPr>
          <w:rFonts w:ascii="mylotus" w:hAnsi="mylotus"/>
          <w:sz w:val="34"/>
          <w:szCs w:val="34"/>
          <w:rtl/>
        </w:rPr>
        <w:t xml:space="preserve"> </w:t>
      </w:r>
      <w:r w:rsidRPr="00FD750B">
        <w:rPr>
          <w:rFonts w:ascii="mylotus" w:hAnsi="mylotus" w:hint="cs"/>
          <w:sz w:val="34"/>
          <w:szCs w:val="34"/>
          <w:rtl/>
        </w:rPr>
        <w:t>إجارة</w:t>
      </w:r>
      <w:r w:rsidRPr="00FD750B">
        <w:rPr>
          <w:rFonts w:ascii="mylotus" w:hAnsi="mylotus"/>
          <w:sz w:val="34"/>
          <w:szCs w:val="34"/>
          <w:rtl/>
        </w:rPr>
        <w:t xml:space="preserve"> </w:t>
      </w:r>
      <w:r w:rsidRPr="00FD750B">
        <w:rPr>
          <w:rFonts w:ascii="mylotus" w:hAnsi="mylotus" w:hint="cs"/>
          <w:sz w:val="34"/>
          <w:szCs w:val="34"/>
          <w:rtl/>
        </w:rPr>
        <w:t>أيضا</w:t>
      </w:r>
      <w:r w:rsidR="0030472F">
        <w:rPr>
          <w:rFonts w:ascii="mylotus" w:hAnsi="mylotus" w:hint="cs"/>
          <w:sz w:val="34"/>
          <w:szCs w:val="34"/>
          <w:rtl/>
        </w:rPr>
        <w:t>ً</w:t>
      </w:r>
      <w:r w:rsidRPr="00FD750B">
        <w:rPr>
          <w:rFonts w:ascii="mylotus" w:hAnsi="mylotus" w:hint="cs"/>
          <w:sz w:val="34"/>
          <w:szCs w:val="34"/>
          <w:rtl/>
        </w:rPr>
        <w:t>،</w:t>
      </w:r>
      <w:r w:rsidRPr="00FD750B">
        <w:rPr>
          <w:rFonts w:ascii="mylotus" w:hAnsi="mylotus"/>
          <w:sz w:val="34"/>
          <w:szCs w:val="34"/>
          <w:rtl/>
        </w:rPr>
        <w:t xml:space="preserve"> </w:t>
      </w:r>
      <w:r w:rsidRPr="00FD750B">
        <w:rPr>
          <w:rFonts w:ascii="mylotus" w:hAnsi="mylotus" w:hint="cs"/>
          <w:sz w:val="34"/>
          <w:szCs w:val="34"/>
          <w:rtl/>
        </w:rPr>
        <w:t>وقد</w:t>
      </w:r>
      <w:r w:rsidRPr="00FD750B">
        <w:rPr>
          <w:rFonts w:ascii="mylotus" w:hAnsi="mylotus"/>
          <w:sz w:val="34"/>
          <w:szCs w:val="34"/>
          <w:rtl/>
        </w:rPr>
        <w:t xml:space="preserve"> </w:t>
      </w:r>
      <w:r w:rsidRPr="00FD750B">
        <w:rPr>
          <w:rFonts w:ascii="mylotus" w:hAnsi="mylotus" w:hint="cs"/>
          <w:sz w:val="34"/>
          <w:szCs w:val="34"/>
          <w:rtl/>
        </w:rPr>
        <w:t>ذكر</w:t>
      </w:r>
      <w:r w:rsidRPr="00FD750B">
        <w:rPr>
          <w:rFonts w:ascii="mylotus" w:hAnsi="mylotus"/>
          <w:sz w:val="34"/>
          <w:szCs w:val="34"/>
          <w:rtl/>
        </w:rPr>
        <w:t xml:space="preserve"> </w:t>
      </w:r>
      <w:r w:rsidRPr="00FD750B">
        <w:rPr>
          <w:rFonts w:ascii="mylotus" w:hAnsi="mylotus" w:hint="cs"/>
          <w:sz w:val="34"/>
          <w:szCs w:val="34"/>
          <w:rtl/>
        </w:rPr>
        <w:t>الفقهاء</w:t>
      </w:r>
      <w:r w:rsidRPr="00FD750B">
        <w:rPr>
          <w:rFonts w:ascii="mylotus" w:hAnsi="mylotus"/>
          <w:sz w:val="34"/>
          <w:szCs w:val="34"/>
          <w:rtl/>
        </w:rPr>
        <w:t xml:space="preserve"> </w:t>
      </w:r>
      <w:r w:rsidRPr="00FD750B">
        <w:rPr>
          <w:rFonts w:ascii="mylotus" w:hAnsi="mylotus" w:hint="cs"/>
          <w:sz w:val="34"/>
          <w:szCs w:val="34"/>
          <w:rtl/>
        </w:rPr>
        <w:t>هذا</w:t>
      </w:r>
      <w:r w:rsidRPr="00FD750B">
        <w:rPr>
          <w:rFonts w:ascii="mylotus" w:hAnsi="mylotus"/>
          <w:sz w:val="34"/>
          <w:szCs w:val="34"/>
          <w:rtl/>
        </w:rPr>
        <w:t xml:space="preserve"> </w:t>
      </w:r>
      <w:r w:rsidRPr="00FD750B">
        <w:rPr>
          <w:rFonts w:ascii="mylotus" w:hAnsi="mylotus" w:hint="cs"/>
          <w:sz w:val="34"/>
          <w:szCs w:val="34"/>
          <w:rtl/>
        </w:rPr>
        <w:t>التقسيم</w:t>
      </w:r>
      <w:r w:rsidRPr="00FD750B">
        <w:rPr>
          <w:rFonts w:ascii="mylotus" w:hAnsi="mylotus"/>
          <w:sz w:val="34"/>
          <w:szCs w:val="34"/>
          <w:rtl/>
        </w:rPr>
        <w:t xml:space="preserve"> </w:t>
      </w:r>
      <w:r w:rsidRPr="00FD750B">
        <w:rPr>
          <w:rFonts w:ascii="mylotus" w:hAnsi="mylotus" w:hint="cs"/>
          <w:sz w:val="34"/>
          <w:szCs w:val="34"/>
          <w:rtl/>
        </w:rPr>
        <w:t>في</w:t>
      </w:r>
      <w:r w:rsidRPr="00FD750B">
        <w:rPr>
          <w:rFonts w:ascii="mylotus" w:hAnsi="mylotus"/>
          <w:sz w:val="34"/>
          <w:szCs w:val="34"/>
          <w:rtl/>
        </w:rPr>
        <w:t xml:space="preserve"> </w:t>
      </w:r>
      <w:r w:rsidRPr="00FD750B">
        <w:rPr>
          <w:rFonts w:ascii="mylotus" w:hAnsi="mylotus" w:hint="cs"/>
          <w:sz w:val="34"/>
          <w:szCs w:val="34"/>
          <w:rtl/>
        </w:rPr>
        <w:t>إجارة</w:t>
      </w:r>
      <w:r w:rsidRPr="00FD750B">
        <w:rPr>
          <w:rFonts w:ascii="mylotus" w:hAnsi="mylotus"/>
          <w:sz w:val="34"/>
          <w:szCs w:val="34"/>
          <w:rtl/>
        </w:rPr>
        <w:t xml:space="preserve"> </w:t>
      </w:r>
      <w:r w:rsidRPr="00FD750B">
        <w:rPr>
          <w:rFonts w:ascii="mylotus" w:hAnsi="mylotus" w:hint="cs"/>
          <w:sz w:val="34"/>
          <w:szCs w:val="34"/>
          <w:rtl/>
        </w:rPr>
        <w:t>الأعمال</w:t>
      </w:r>
      <w:r w:rsidRPr="00FD750B">
        <w:rPr>
          <w:rFonts w:ascii="mylotus" w:hAnsi="mylotus"/>
          <w:sz w:val="34"/>
          <w:szCs w:val="34"/>
          <w:rtl/>
        </w:rPr>
        <w:t xml:space="preserve"> </w:t>
      </w:r>
      <w:r w:rsidRPr="00FD750B">
        <w:rPr>
          <w:rFonts w:ascii="mylotus" w:hAnsi="mylotus" w:hint="cs"/>
          <w:sz w:val="34"/>
          <w:szCs w:val="34"/>
          <w:rtl/>
        </w:rPr>
        <w:t>كما</w:t>
      </w:r>
      <w:r w:rsidRPr="00FD750B">
        <w:rPr>
          <w:rFonts w:ascii="mylotus" w:hAnsi="mylotus"/>
          <w:sz w:val="34"/>
          <w:szCs w:val="34"/>
          <w:rtl/>
        </w:rPr>
        <w:t xml:space="preserve"> </w:t>
      </w:r>
      <w:r w:rsidRPr="00FD750B">
        <w:rPr>
          <w:rFonts w:ascii="mylotus" w:hAnsi="mylotus" w:hint="cs"/>
          <w:sz w:val="34"/>
          <w:szCs w:val="34"/>
          <w:rtl/>
        </w:rPr>
        <w:t>تعرض</w:t>
      </w:r>
      <w:r w:rsidRPr="00FD750B">
        <w:rPr>
          <w:rFonts w:ascii="mylotus" w:hAnsi="mylotus"/>
          <w:sz w:val="34"/>
          <w:szCs w:val="34"/>
          <w:rtl/>
        </w:rPr>
        <w:t xml:space="preserve"> </w:t>
      </w:r>
      <w:r w:rsidRPr="00FD750B">
        <w:rPr>
          <w:rFonts w:ascii="mylotus" w:hAnsi="mylotus" w:hint="cs"/>
          <w:sz w:val="34"/>
          <w:szCs w:val="34"/>
          <w:rtl/>
        </w:rPr>
        <w:t>له</w:t>
      </w:r>
      <w:r w:rsidRPr="00FD750B">
        <w:rPr>
          <w:rFonts w:ascii="mylotus" w:hAnsi="mylotus"/>
          <w:sz w:val="34"/>
          <w:szCs w:val="34"/>
          <w:rtl/>
        </w:rPr>
        <w:t xml:space="preserve"> </w:t>
      </w:r>
      <w:r w:rsidRPr="00FD750B">
        <w:rPr>
          <w:rFonts w:ascii="mylotus" w:hAnsi="mylotus" w:hint="cs"/>
          <w:sz w:val="34"/>
          <w:szCs w:val="34"/>
          <w:rtl/>
        </w:rPr>
        <w:t>متن</w:t>
      </w:r>
      <w:r w:rsidRPr="00FD750B">
        <w:rPr>
          <w:rFonts w:ascii="mylotus" w:hAnsi="mylotus"/>
          <w:sz w:val="34"/>
          <w:szCs w:val="34"/>
          <w:rtl/>
        </w:rPr>
        <w:t xml:space="preserve"> </w:t>
      </w:r>
      <w:r w:rsidRPr="00FD750B">
        <w:rPr>
          <w:rFonts w:ascii="mylotus" w:hAnsi="mylotus" w:hint="cs"/>
          <w:sz w:val="34"/>
          <w:szCs w:val="34"/>
          <w:rtl/>
        </w:rPr>
        <w:t>العروة</w:t>
      </w:r>
      <w:r w:rsidRPr="00FD750B">
        <w:rPr>
          <w:rFonts w:ascii="mylotus" w:hAnsi="mylotus"/>
          <w:sz w:val="34"/>
          <w:szCs w:val="34"/>
          <w:rtl/>
        </w:rPr>
        <w:t xml:space="preserve"> </w:t>
      </w:r>
      <w:r w:rsidRPr="00FD750B">
        <w:rPr>
          <w:rFonts w:ascii="mylotus" w:hAnsi="mylotus" w:hint="cs"/>
          <w:sz w:val="34"/>
          <w:szCs w:val="34"/>
          <w:rtl/>
        </w:rPr>
        <w:t>أيضا</w:t>
      </w:r>
      <w:r w:rsidR="0030472F">
        <w:rPr>
          <w:rFonts w:ascii="mylotus" w:hAnsi="mylotus" w:hint="cs"/>
          <w:sz w:val="34"/>
          <w:szCs w:val="34"/>
          <w:rtl/>
        </w:rPr>
        <w:t>ً</w:t>
      </w:r>
      <w:r w:rsidRPr="00FD750B">
        <w:rPr>
          <w:rFonts w:ascii="mylotus" w:hAnsi="mylotus" w:hint="cs"/>
          <w:sz w:val="34"/>
          <w:szCs w:val="34"/>
          <w:rtl/>
        </w:rPr>
        <w:t>،</w:t>
      </w:r>
      <w:r w:rsidRPr="00FD750B">
        <w:rPr>
          <w:rFonts w:ascii="mylotus" w:hAnsi="mylotus"/>
          <w:sz w:val="34"/>
          <w:szCs w:val="34"/>
          <w:rtl/>
        </w:rPr>
        <w:t xml:space="preserve"> </w:t>
      </w:r>
      <w:r w:rsidRPr="00FD750B">
        <w:rPr>
          <w:rFonts w:ascii="mylotus" w:hAnsi="mylotus" w:hint="cs"/>
          <w:sz w:val="34"/>
          <w:szCs w:val="34"/>
          <w:rtl/>
        </w:rPr>
        <w:t>وهو</w:t>
      </w:r>
      <w:r w:rsidRPr="00FD750B">
        <w:rPr>
          <w:rFonts w:ascii="mylotus" w:hAnsi="mylotus"/>
          <w:sz w:val="34"/>
          <w:szCs w:val="34"/>
          <w:rtl/>
        </w:rPr>
        <w:t xml:space="preserve"> </w:t>
      </w:r>
      <w:r w:rsidRPr="00FD750B">
        <w:rPr>
          <w:rFonts w:ascii="mylotus" w:hAnsi="mylotus" w:hint="cs"/>
          <w:sz w:val="34"/>
          <w:szCs w:val="34"/>
          <w:rtl/>
        </w:rPr>
        <w:t>أن</w:t>
      </w:r>
      <w:r w:rsidRPr="00FD750B">
        <w:rPr>
          <w:rFonts w:ascii="mylotus" w:hAnsi="mylotus"/>
          <w:sz w:val="34"/>
          <w:szCs w:val="34"/>
          <w:rtl/>
        </w:rPr>
        <w:t xml:space="preserve"> </w:t>
      </w:r>
      <w:r w:rsidRPr="00FD750B">
        <w:rPr>
          <w:rFonts w:ascii="mylotus" w:hAnsi="mylotus" w:hint="cs"/>
          <w:sz w:val="34"/>
          <w:szCs w:val="34"/>
          <w:rtl/>
        </w:rPr>
        <w:t>الأجير</w:t>
      </w:r>
      <w:r w:rsidRPr="00FD750B">
        <w:rPr>
          <w:rFonts w:ascii="mylotus" w:hAnsi="mylotus"/>
          <w:sz w:val="34"/>
          <w:szCs w:val="34"/>
          <w:rtl/>
        </w:rPr>
        <w:t xml:space="preserve"> </w:t>
      </w:r>
      <w:r w:rsidRPr="00FD750B">
        <w:rPr>
          <w:rFonts w:ascii="mylotus" w:hAnsi="mylotus" w:hint="cs"/>
          <w:sz w:val="34"/>
          <w:szCs w:val="34"/>
          <w:rtl/>
        </w:rPr>
        <w:t>تارة</w:t>
      </w:r>
      <w:r w:rsidR="0030472F">
        <w:rPr>
          <w:rFonts w:ascii="mylotus" w:hAnsi="mylotus" w:hint="cs"/>
          <w:sz w:val="34"/>
          <w:szCs w:val="34"/>
          <w:rtl/>
        </w:rPr>
        <w:t>ً</w:t>
      </w:r>
      <w:r w:rsidRPr="00FD750B">
        <w:rPr>
          <w:rFonts w:ascii="mylotus" w:hAnsi="mylotus"/>
          <w:sz w:val="34"/>
          <w:szCs w:val="34"/>
          <w:rtl/>
        </w:rPr>
        <w:t xml:space="preserve"> ي</w:t>
      </w:r>
      <w:r w:rsidR="0030472F">
        <w:rPr>
          <w:rFonts w:ascii="mylotus" w:hAnsi="mylotus" w:hint="cs"/>
          <w:sz w:val="34"/>
          <w:szCs w:val="34"/>
          <w:rtl/>
        </w:rPr>
        <w:t>ُ</w:t>
      </w:r>
      <w:r w:rsidRPr="00FD750B">
        <w:rPr>
          <w:rFonts w:ascii="mylotus" w:hAnsi="mylotus"/>
          <w:sz w:val="34"/>
          <w:szCs w:val="34"/>
          <w:rtl/>
        </w:rPr>
        <w:t>نشئ الإجارة على كلي العمل في ذمته، وتارة</w:t>
      </w:r>
      <w:r w:rsidR="0030472F">
        <w:rPr>
          <w:rFonts w:ascii="mylotus" w:hAnsi="mylotus" w:hint="cs"/>
          <w:sz w:val="34"/>
          <w:szCs w:val="34"/>
          <w:rtl/>
        </w:rPr>
        <w:t>ً</w:t>
      </w:r>
      <w:r w:rsidRPr="00FD750B">
        <w:rPr>
          <w:rFonts w:ascii="mylotus" w:hAnsi="mylotus"/>
          <w:sz w:val="34"/>
          <w:szCs w:val="34"/>
          <w:rtl/>
        </w:rPr>
        <w:t xml:space="preserve"> على شخص العمل المتلبس به بالفعل، فكون المملوك هو الطبيعيّ أو خصوص الحصة القائمة بالساكن إنما ناشئ من تحديد متعلق المبادلة في الإجارة المختلف باختلاف الموارد لا أنه الفارق ال</w:t>
      </w:r>
      <w:r w:rsidR="0030472F">
        <w:rPr>
          <w:rFonts w:ascii="mylotus" w:hAnsi="mylotus" w:hint="cs"/>
          <w:sz w:val="34"/>
          <w:szCs w:val="34"/>
          <w:rtl/>
        </w:rPr>
        <w:t>ج</w:t>
      </w:r>
      <w:r w:rsidRPr="00FD750B">
        <w:rPr>
          <w:rFonts w:ascii="mylotus" w:hAnsi="mylotus"/>
          <w:sz w:val="34"/>
          <w:szCs w:val="34"/>
          <w:rtl/>
        </w:rPr>
        <w:t>و</w:t>
      </w:r>
      <w:r w:rsidR="008A6A7D">
        <w:rPr>
          <w:rFonts w:ascii="mylotus" w:hAnsi="mylotus"/>
          <w:sz w:val="34"/>
          <w:szCs w:val="34"/>
          <w:rtl/>
        </w:rPr>
        <w:t>هري بين حيازة المنفعة وحيازة ال</w:t>
      </w:r>
      <w:r w:rsidR="008A6A7D">
        <w:rPr>
          <w:rFonts w:ascii="mylotus" w:hAnsi="mylotus" w:hint="cs"/>
          <w:sz w:val="34"/>
          <w:szCs w:val="34"/>
          <w:rtl/>
        </w:rPr>
        <w:t>ا</w:t>
      </w:r>
      <w:r w:rsidRPr="00FD750B">
        <w:rPr>
          <w:rFonts w:ascii="mylotus" w:hAnsi="mylotus"/>
          <w:sz w:val="34"/>
          <w:szCs w:val="34"/>
          <w:rtl/>
        </w:rPr>
        <w:t>نتفاع في حد</w:t>
      </w:r>
      <w:r w:rsidR="0030472F">
        <w:rPr>
          <w:rFonts w:ascii="mylotus" w:hAnsi="mylotus" w:hint="cs"/>
          <w:sz w:val="34"/>
          <w:szCs w:val="34"/>
          <w:rtl/>
        </w:rPr>
        <w:t xml:space="preserve"> </w:t>
      </w:r>
      <w:r w:rsidRPr="00FD750B">
        <w:rPr>
          <w:rFonts w:ascii="mylotus" w:hAnsi="mylotus"/>
          <w:sz w:val="34"/>
          <w:szCs w:val="34"/>
          <w:rtl/>
        </w:rPr>
        <w:t>أنفسهما.</w:t>
      </w:r>
    </w:p>
    <w:p w14:paraId="2D9CC0D7" w14:textId="77777777" w:rsidR="0030472F" w:rsidRDefault="0030472F" w:rsidP="0030472F">
      <w:pPr>
        <w:pStyle w:val="a0"/>
        <w:bidi/>
        <w:spacing w:line="216" w:lineRule="auto"/>
        <w:rPr>
          <w:rFonts w:ascii="mylotus" w:hAnsi="mylotus"/>
          <w:sz w:val="34"/>
          <w:szCs w:val="34"/>
          <w:rtl/>
        </w:rPr>
      </w:pPr>
      <w:r w:rsidRPr="0030472F">
        <w:rPr>
          <w:rFonts w:ascii="mylotus" w:hAnsi="mylotus" w:hint="cs"/>
          <w:b/>
          <w:bCs/>
          <w:sz w:val="34"/>
          <w:szCs w:val="34"/>
          <w:rtl/>
        </w:rPr>
        <w:t xml:space="preserve">المحتمل </w:t>
      </w:r>
      <w:r w:rsidR="00FD750B" w:rsidRPr="0030472F">
        <w:rPr>
          <w:rFonts w:ascii="mylotus" w:hAnsi="mylotus"/>
          <w:b/>
          <w:bCs/>
          <w:sz w:val="34"/>
          <w:szCs w:val="34"/>
          <w:rtl/>
        </w:rPr>
        <w:t xml:space="preserve">الثالث: </w:t>
      </w:r>
      <w:r w:rsidR="00FD750B" w:rsidRPr="00FD750B">
        <w:rPr>
          <w:rFonts w:ascii="mylotus" w:hAnsi="mylotus"/>
          <w:sz w:val="34"/>
          <w:szCs w:val="34"/>
          <w:rtl/>
        </w:rPr>
        <w:t>ما</w:t>
      </w:r>
      <w:r>
        <w:rPr>
          <w:rFonts w:ascii="mylotus" w:hAnsi="mylotus" w:hint="cs"/>
          <w:sz w:val="34"/>
          <w:szCs w:val="34"/>
          <w:rtl/>
        </w:rPr>
        <w:t xml:space="preserve"> </w:t>
      </w:r>
      <w:r w:rsidR="00FD750B" w:rsidRPr="00FD750B">
        <w:rPr>
          <w:rFonts w:ascii="mylotus" w:hAnsi="mylotus"/>
          <w:sz w:val="34"/>
          <w:szCs w:val="34"/>
          <w:rtl/>
        </w:rPr>
        <w:t xml:space="preserve">نقله المحقق الإصفهاني قدس سره الشريف عن بعض المعاصرين له وهو المحقق </w:t>
      </w:r>
      <w:proofErr w:type="spellStart"/>
      <w:r w:rsidR="00FD750B" w:rsidRPr="00FD750B">
        <w:rPr>
          <w:rFonts w:ascii="mylotus" w:hAnsi="mylotus"/>
          <w:sz w:val="34"/>
          <w:szCs w:val="34"/>
          <w:rtl/>
        </w:rPr>
        <w:t>الرشتي</w:t>
      </w:r>
      <w:proofErr w:type="spellEnd"/>
      <w:r w:rsidR="00FD750B" w:rsidRPr="00FD750B">
        <w:rPr>
          <w:rFonts w:ascii="mylotus" w:hAnsi="mylotus"/>
          <w:sz w:val="34"/>
          <w:szCs w:val="34"/>
          <w:rtl/>
        </w:rPr>
        <w:t xml:space="preserve"> قد</w:t>
      </w:r>
      <w:r>
        <w:rPr>
          <w:rFonts w:ascii="mylotus" w:hAnsi="mylotus" w:hint="cs"/>
          <w:sz w:val="34"/>
          <w:szCs w:val="34"/>
          <w:rtl/>
        </w:rPr>
        <w:t>س سره الشريف</w:t>
      </w:r>
      <w:r w:rsidR="00FD750B" w:rsidRPr="00FD750B">
        <w:rPr>
          <w:rFonts w:ascii="mylotus" w:hAnsi="mylotus"/>
          <w:sz w:val="34"/>
          <w:szCs w:val="34"/>
          <w:rtl/>
        </w:rPr>
        <w:t>: من أنه لا فرق بين مِلك العين ومِلك المنفعة ومِلك الانتفاع فإن الجميع واردٌ على العين، فكما</w:t>
      </w:r>
      <w:r>
        <w:rPr>
          <w:rFonts w:ascii="mylotus" w:hAnsi="mylotus" w:hint="cs"/>
          <w:sz w:val="34"/>
          <w:szCs w:val="34"/>
          <w:rtl/>
        </w:rPr>
        <w:t xml:space="preserve"> </w:t>
      </w:r>
      <w:r w:rsidR="00FD750B" w:rsidRPr="00FD750B">
        <w:rPr>
          <w:rFonts w:ascii="mylotus" w:hAnsi="mylotus"/>
          <w:sz w:val="34"/>
          <w:szCs w:val="34"/>
          <w:rtl/>
        </w:rPr>
        <w:t>أن الهبة تمليك العين، فالإجارة أيضاً تمليك العين؛ لكن تمليك العين من جهةٍ خاصة لا من تمام الجهات، وهي تمليك العين من جهة المنفعة.</w:t>
      </w:r>
    </w:p>
    <w:p w14:paraId="553D471A" w14:textId="74221594" w:rsidR="0030472F" w:rsidRDefault="00FD750B" w:rsidP="0030472F">
      <w:pPr>
        <w:pStyle w:val="a0"/>
        <w:bidi/>
        <w:spacing w:line="216" w:lineRule="auto"/>
        <w:rPr>
          <w:rFonts w:ascii="mylotus" w:hAnsi="mylotus"/>
          <w:sz w:val="34"/>
          <w:szCs w:val="34"/>
          <w:rtl/>
        </w:rPr>
      </w:pPr>
      <w:r w:rsidRPr="00FD750B">
        <w:rPr>
          <w:rFonts w:ascii="mylotus" w:hAnsi="mylotus"/>
          <w:sz w:val="34"/>
          <w:szCs w:val="34"/>
          <w:rtl/>
        </w:rPr>
        <w:t>كما لا فرق بين تمليك المنفعة وتمليك الانتفاع في أن الجميع تمليك للعين، غاية ما في الباب أن تمليك المنفعة تمليكٌ ل</w:t>
      </w:r>
      <w:r w:rsidR="008A6A7D">
        <w:rPr>
          <w:rFonts w:ascii="mylotus" w:hAnsi="mylotus"/>
          <w:sz w:val="34"/>
          <w:szCs w:val="34"/>
          <w:rtl/>
        </w:rPr>
        <w:t>لعين في جهةٍ المنفعة على نحو ال</w:t>
      </w:r>
      <w:r w:rsidR="008A6A7D">
        <w:rPr>
          <w:rFonts w:ascii="mylotus" w:hAnsi="mylotus" w:hint="cs"/>
          <w:sz w:val="34"/>
          <w:szCs w:val="34"/>
          <w:rtl/>
        </w:rPr>
        <w:t>ا</w:t>
      </w:r>
      <w:r w:rsidRPr="00FD750B">
        <w:rPr>
          <w:rFonts w:ascii="mylotus" w:hAnsi="mylotus"/>
          <w:sz w:val="34"/>
          <w:szCs w:val="34"/>
          <w:rtl/>
        </w:rPr>
        <w:t>ستقلال، ولذلك يمكنه التصرف في المنفعة، بينما تمليك الانتفاع هو تمليك العين في جهةٍ خاصة وهي استيفاء المنافع لا مستقلا</w:t>
      </w:r>
      <w:r w:rsidR="0030472F">
        <w:rPr>
          <w:rFonts w:ascii="mylotus" w:hAnsi="mylotus" w:hint="cs"/>
          <w:sz w:val="34"/>
          <w:szCs w:val="34"/>
          <w:rtl/>
        </w:rPr>
        <w:t>ً</w:t>
      </w:r>
      <w:r w:rsidRPr="00FD750B">
        <w:rPr>
          <w:rFonts w:ascii="mylotus" w:hAnsi="mylotus"/>
          <w:sz w:val="34"/>
          <w:szCs w:val="34"/>
          <w:rtl/>
        </w:rPr>
        <w:t>، ولذلك لا يمكنه التصرف بالنقل إلى غيره.</w:t>
      </w:r>
    </w:p>
    <w:p w14:paraId="6FF4E880" w14:textId="35C60337" w:rsidR="00C678F4" w:rsidRDefault="00FD750B" w:rsidP="0030472F">
      <w:pPr>
        <w:pStyle w:val="a0"/>
        <w:bidi/>
        <w:spacing w:line="216" w:lineRule="auto"/>
        <w:rPr>
          <w:rFonts w:ascii="mylotus" w:hAnsi="mylotus"/>
          <w:sz w:val="34"/>
          <w:szCs w:val="34"/>
          <w:rtl/>
        </w:rPr>
      </w:pPr>
      <w:r w:rsidRPr="00FD750B">
        <w:rPr>
          <w:rFonts w:ascii="mylotus" w:hAnsi="mylotus"/>
          <w:sz w:val="34"/>
          <w:szCs w:val="34"/>
          <w:rtl/>
        </w:rPr>
        <w:t>وأشكل على ذلك المحقق الإصفهاني أعلى الله مقامه: بأن المرتكز العقلائي يأبى اجتماعَ مُلاكٍ على عينٍ واحدةٍ، فمن باب المثال: لو أن المُؤجِر عِبر عقد الإجارة قام بتمليك المنفعة للمُستأجِر، وتمليك ال</w:t>
      </w:r>
      <w:r w:rsidR="00C678F4">
        <w:rPr>
          <w:rFonts w:ascii="mylotus" w:hAnsi="mylotus" w:hint="cs"/>
          <w:sz w:val="34"/>
          <w:szCs w:val="34"/>
          <w:rtl/>
        </w:rPr>
        <w:t>ا</w:t>
      </w:r>
      <w:r w:rsidRPr="00FD750B">
        <w:rPr>
          <w:rFonts w:ascii="mylotus" w:hAnsi="mylotus"/>
          <w:sz w:val="34"/>
          <w:szCs w:val="34"/>
          <w:rtl/>
        </w:rPr>
        <w:t>نتفاع بها من جهة أ</w:t>
      </w:r>
      <w:r w:rsidR="00C678F4">
        <w:rPr>
          <w:rFonts w:ascii="mylotus" w:hAnsi="mylotus" w:hint="cs"/>
          <w:sz w:val="34"/>
          <w:szCs w:val="34"/>
          <w:rtl/>
        </w:rPr>
        <w:t>خ</w:t>
      </w:r>
      <w:r w:rsidRPr="00FD750B">
        <w:rPr>
          <w:rFonts w:ascii="mylotus" w:hAnsi="mylotus"/>
          <w:sz w:val="34"/>
          <w:szCs w:val="34"/>
          <w:rtl/>
        </w:rPr>
        <w:t>رى لشخص ثان</w:t>
      </w:r>
      <w:r w:rsidR="00C678F4">
        <w:rPr>
          <w:rFonts w:ascii="mylotus" w:hAnsi="mylotus" w:hint="cs"/>
          <w:sz w:val="34"/>
          <w:szCs w:val="34"/>
          <w:rtl/>
        </w:rPr>
        <w:t>ٍ</w:t>
      </w:r>
      <w:r w:rsidRPr="00FD750B">
        <w:rPr>
          <w:rFonts w:ascii="mylotus" w:hAnsi="mylotus"/>
          <w:sz w:val="34"/>
          <w:szCs w:val="34"/>
          <w:rtl/>
        </w:rPr>
        <w:t xml:space="preserve"> - بلحاظ تعدد منافع العين مثلا</w:t>
      </w:r>
      <w:r w:rsidR="00C678F4">
        <w:rPr>
          <w:rFonts w:ascii="mylotus" w:hAnsi="mylotus" w:hint="cs"/>
          <w:sz w:val="34"/>
          <w:szCs w:val="34"/>
          <w:rtl/>
        </w:rPr>
        <w:t>ً</w:t>
      </w:r>
      <w:r w:rsidRPr="00FD750B">
        <w:rPr>
          <w:rFonts w:ascii="mylotus" w:hAnsi="mylotus"/>
          <w:sz w:val="34"/>
          <w:szCs w:val="34"/>
          <w:rtl/>
        </w:rPr>
        <w:t xml:space="preserve"> - فهنا عدة مالكين للعين</w:t>
      </w:r>
      <w:r w:rsidR="00C678F4">
        <w:rPr>
          <w:rFonts w:ascii="mylotus" w:hAnsi="mylotus" w:hint="cs"/>
          <w:sz w:val="34"/>
          <w:szCs w:val="34"/>
          <w:rtl/>
        </w:rPr>
        <w:t>:</w:t>
      </w:r>
    </w:p>
    <w:p w14:paraId="17B5A9F5" w14:textId="77777777" w:rsidR="00C678F4" w:rsidRDefault="00FD750B" w:rsidP="00C678F4">
      <w:pPr>
        <w:pStyle w:val="a0"/>
        <w:bidi/>
        <w:spacing w:line="216" w:lineRule="auto"/>
        <w:rPr>
          <w:rFonts w:ascii="mylotus" w:hAnsi="mylotus"/>
          <w:sz w:val="34"/>
          <w:szCs w:val="34"/>
          <w:rtl/>
        </w:rPr>
      </w:pPr>
      <w:r w:rsidRPr="00FD750B">
        <w:rPr>
          <w:rFonts w:ascii="mylotus" w:hAnsi="mylotus"/>
          <w:sz w:val="34"/>
          <w:szCs w:val="34"/>
          <w:rtl/>
        </w:rPr>
        <w:t>مالِكُ العين من تمام الجهات وهو المُؤجِر، ومالِكُ العين من جهة المنفعة وهو المُستأجِر، ومالك العين من جهة ال</w:t>
      </w:r>
      <w:r w:rsidR="00C678F4">
        <w:rPr>
          <w:rFonts w:ascii="mylotus" w:hAnsi="mylotus" w:hint="cs"/>
          <w:sz w:val="34"/>
          <w:szCs w:val="34"/>
          <w:rtl/>
        </w:rPr>
        <w:t>ا</w:t>
      </w:r>
      <w:r w:rsidRPr="00FD750B">
        <w:rPr>
          <w:rFonts w:ascii="mylotus" w:hAnsi="mylotus"/>
          <w:sz w:val="34"/>
          <w:szCs w:val="34"/>
          <w:rtl/>
        </w:rPr>
        <w:t>نتفاع لا</w:t>
      </w:r>
      <w:r w:rsidR="00C678F4">
        <w:rPr>
          <w:rFonts w:ascii="mylotus" w:hAnsi="mylotus" w:hint="cs"/>
          <w:sz w:val="34"/>
          <w:szCs w:val="34"/>
          <w:rtl/>
        </w:rPr>
        <w:t xml:space="preserve"> </w:t>
      </w:r>
      <w:r w:rsidRPr="00FD750B">
        <w:rPr>
          <w:rFonts w:ascii="mylotus" w:hAnsi="mylotus"/>
          <w:sz w:val="34"/>
          <w:szCs w:val="34"/>
          <w:rtl/>
        </w:rPr>
        <w:t>على نحو ال</w:t>
      </w:r>
      <w:r w:rsidR="00C678F4">
        <w:rPr>
          <w:rFonts w:ascii="mylotus" w:hAnsi="mylotus" w:hint="cs"/>
          <w:sz w:val="34"/>
          <w:szCs w:val="34"/>
          <w:rtl/>
        </w:rPr>
        <w:t>ا</w:t>
      </w:r>
      <w:r w:rsidRPr="00FD750B">
        <w:rPr>
          <w:rFonts w:ascii="mylotus" w:hAnsi="mylotus"/>
          <w:sz w:val="34"/>
          <w:szCs w:val="34"/>
          <w:rtl/>
        </w:rPr>
        <w:t>ستقلال وهو المنتفع</w:t>
      </w:r>
      <w:r w:rsidR="00C678F4">
        <w:rPr>
          <w:rFonts w:ascii="mylotus" w:hAnsi="mylotus" w:hint="cs"/>
          <w:sz w:val="34"/>
          <w:szCs w:val="34"/>
          <w:rtl/>
        </w:rPr>
        <w:t>،</w:t>
      </w:r>
      <w:r w:rsidRPr="00FD750B">
        <w:rPr>
          <w:rFonts w:ascii="mylotus" w:hAnsi="mylotus"/>
          <w:sz w:val="34"/>
          <w:szCs w:val="34"/>
          <w:rtl/>
        </w:rPr>
        <w:t xml:space="preserve"> وهذا مما </w:t>
      </w:r>
      <w:proofErr w:type="spellStart"/>
      <w:r w:rsidRPr="00FD750B">
        <w:rPr>
          <w:rFonts w:ascii="mylotus" w:hAnsi="mylotus"/>
          <w:sz w:val="34"/>
          <w:szCs w:val="34"/>
          <w:rtl/>
        </w:rPr>
        <w:t>يأباه</w:t>
      </w:r>
      <w:proofErr w:type="spellEnd"/>
      <w:r w:rsidRPr="00FD750B">
        <w:rPr>
          <w:rFonts w:ascii="mylotus" w:hAnsi="mylotus"/>
          <w:sz w:val="34"/>
          <w:szCs w:val="34"/>
          <w:rtl/>
        </w:rPr>
        <w:t xml:space="preserve"> المرتكز العقلائي.</w:t>
      </w:r>
    </w:p>
    <w:p w14:paraId="1E15E662" w14:textId="5AA2B677" w:rsidR="00C678F4" w:rsidRDefault="00FD750B" w:rsidP="008A6A7D">
      <w:pPr>
        <w:pStyle w:val="a0"/>
        <w:bidi/>
        <w:spacing w:line="216" w:lineRule="auto"/>
        <w:rPr>
          <w:rFonts w:ascii="mylotus" w:hAnsi="mylotus"/>
          <w:sz w:val="34"/>
          <w:szCs w:val="34"/>
          <w:rtl/>
        </w:rPr>
      </w:pPr>
      <w:r w:rsidRPr="00FD750B">
        <w:rPr>
          <w:rFonts w:ascii="mylotus" w:hAnsi="mylotus"/>
          <w:sz w:val="34"/>
          <w:szCs w:val="34"/>
          <w:rtl/>
        </w:rPr>
        <w:t>لكن بعض الأعلام ناقش في ذلك وأفاد: بأن المرتكز العقلائي لا يأبى اجتماع مِلكيتين طُوليتين على مالٍ واحدٍ، كملكية السيد والعبد؛ فإن العبد يملِكُ أمواله مع أن السيدَ يملِكُ العبدَ وما مَلَك، فبين المِلكيتين اجتماعٌ؛ ولكن على نحو الطولية.</w:t>
      </w:r>
    </w:p>
    <w:p w14:paraId="64175AED" w14:textId="77777777" w:rsidR="00C678F4" w:rsidRDefault="00FD750B" w:rsidP="00C678F4">
      <w:pPr>
        <w:pStyle w:val="a0"/>
        <w:bidi/>
        <w:spacing w:line="216" w:lineRule="auto"/>
        <w:rPr>
          <w:rFonts w:ascii="mylotus" w:hAnsi="mylotus"/>
          <w:sz w:val="34"/>
          <w:szCs w:val="34"/>
          <w:rtl/>
        </w:rPr>
      </w:pPr>
      <w:r w:rsidRPr="00FD750B">
        <w:rPr>
          <w:rFonts w:ascii="mylotus" w:hAnsi="mylotus"/>
          <w:sz w:val="34"/>
          <w:szCs w:val="34"/>
          <w:rtl/>
        </w:rPr>
        <w:lastRenderedPageBreak/>
        <w:t>كذلك ما التزم به جمعٌ من الفقهاء في الأراضي الخراجية من أنها مِلكُ الإمام عليه السلام وهي م</w:t>
      </w:r>
      <w:r w:rsidR="00C678F4">
        <w:rPr>
          <w:rFonts w:ascii="mylotus" w:hAnsi="mylotus" w:hint="cs"/>
          <w:sz w:val="34"/>
          <w:szCs w:val="34"/>
          <w:rtl/>
        </w:rPr>
        <w:t>ِ</w:t>
      </w:r>
      <w:r w:rsidRPr="00FD750B">
        <w:rPr>
          <w:rFonts w:ascii="mylotus" w:hAnsi="mylotus"/>
          <w:sz w:val="34"/>
          <w:szCs w:val="34"/>
          <w:rtl/>
        </w:rPr>
        <w:t>لك مَن أحياها، وأثره أن تجتمع مِلكيتان على الأرض الخراجية على نحو الطولية في آنٍ واحد، فهذا أمرٌ لا مانع منه.</w:t>
      </w:r>
    </w:p>
    <w:p w14:paraId="042AA5B4" w14:textId="73BE4104" w:rsidR="00FD750B" w:rsidRPr="00FD750B" w:rsidRDefault="00FD750B" w:rsidP="00C678F4">
      <w:pPr>
        <w:pStyle w:val="a0"/>
        <w:bidi/>
        <w:spacing w:line="216" w:lineRule="auto"/>
        <w:rPr>
          <w:rFonts w:ascii="mylotus" w:hAnsi="mylotus"/>
          <w:sz w:val="34"/>
          <w:szCs w:val="34"/>
          <w:rtl/>
        </w:rPr>
      </w:pPr>
      <w:r w:rsidRPr="00FD750B">
        <w:rPr>
          <w:rFonts w:ascii="mylotus" w:hAnsi="mylotus"/>
          <w:sz w:val="34"/>
          <w:szCs w:val="34"/>
          <w:rtl/>
        </w:rPr>
        <w:t>والظاهر أن الفرق بين حيازة</w:t>
      </w:r>
      <w:r w:rsidR="00C678F4">
        <w:rPr>
          <w:rFonts w:ascii="mylotus" w:hAnsi="mylotus" w:hint="cs"/>
          <w:sz w:val="34"/>
          <w:szCs w:val="34"/>
          <w:rtl/>
        </w:rPr>
        <w:t xml:space="preserve"> </w:t>
      </w:r>
      <w:r w:rsidRPr="00FD750B">
        <w:rPr>
          <w:rFonts w:ascii="mylotus" w:hAnsi="mylotus"/>
          <w:sz w:val="34"/>
          <w:szCs w:val="34"/>
          <w:rtl/>
        </w:rPr>
        <w:t>المنفعة وحيازة ال</w:t>
      </w:r>
      <w:r w:rsidR="00C678F4">
        <w:rPr>
          <w:rFonts w:ascii="mylotus" w:hAnsi="mylotus" w:hint="cs"/>
          <w:sz w:val="34"/>
          <w:szCs w:val="34"/>
          <w:rtl/>
        </w:rPr>
        <w:t>ا</w:t>
      </w:r>
      <w:r w:rsidRPr="00FD750B">
        <w:rPr>
          <w:rFonts w:ascii="mylotus" w:hAnsi="mylotus"/>
          <w:sz w:val="34"/>
          <w:szCs w:val="34"/>
          <w:rtl/>
        </w:rPr>
        <w:t>نتفاع: أنّ حيازة الانتفاع مرجِعُه إلى الحق لا إلى المِلك بخلاف حيازة المنفعة.</w:t>
      </w:r>
    </w:p>
    <w:p w14:paraId="2F3EDC0E" w14:textId="77777777" w:rsidR="008A6A7D" w:rsidRDefault="008A6A7D" w:rsidP="00A86FDF">
      <w:pPr>
        <w:pStyle w:val="a0"/>
        <w:bidi/>
        <w:spacing w:line="216" w:lineRule="auto"/>
        <w:jc w:val="center"/>
        <w:rPr>
          <w:rFonts w:ascii="mylotus" w:hAnsi="mylotus" w:hint="cs"/>
          <w:b/>
          <w:bCs/>
          <w:sz w:val="34"/>
          <w:szCs w:val="34"/>
          <w:rtl/>
        </w:rPr>
      </w:pPr>
    </w:p>
    <w:p w14:paraId="2D24CFF0" w14:textId="6BD9E5F5" w:rsidR="001F034F" w:rsidRPr="005F7776" w:rsidRDefault="00E706A4" w:rsidP="008A6A7D">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1D785E">
      <w:headerReference w:type="even" r:id="rId9"/>
      <w:headerReference w:type="default" r:id="rId10"/>
      <w:footerReference w:type="even" r:id="rId11"/>
      <w:footerReference w:type="default" r:id="rId12"/>
      <w:headerReference w:type="first" r:id="rId13"/>
      <w:footerReference w:type="first" r:id="rId14"/>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31F38" w14:textId="77777777" w:rsidR="0083217D" w:rsidRDefault="0083217D" w:rsidP="00A5027D">
      <w:pPr>
        <w:spacing w:line="240" w:lineRule="auto"/>
      </w:pPr>
      <w:r>
        <w:separator/>
      </w:r>
    </w:p>
  </w:endnote>
  <w:endnote w:type="continuationSeparator" w:id="0">
    <w:p w14:paraId="0B73C83C" w14:textId="77777777" w:rsidR="0083217D" w:rsidRDefault="0083217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5B22D" w14:textId="77777777" w:rsidR="00EC64B8" w:rsidRDefault="00EC64B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EC64B8" w:rsidRPr="00EC64B8">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3E71" w14:textId="77777777" w:rsidR="00EC64B8" w:rsidRDefault="00EC64B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03F788" w14:textId="77777777" w:rsidR="0083217D" w:rsidRDefault="0083217D" w:rsidP="00A5027D">
      <w:pPr>
        <w:spacing w:line="240" w:lineRule="auto"/>
      </w:pPr>
      <w:r>
        <w:separator/>
      </w:r>
    </w:p>
  </w:footnote>
  <w:footnote w:type="continuationSeparator" w:id="0">
    <w:p w14:paraId="10F50E75" w14:textId="77777777" w:rsidR="0083217D" w:rsidRDefault="0083217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0D0FF" w14:textId="77777777" w:rsidR="00EC64B8" w:rsidRDefault="00EC64B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9DBB70B" w:rsidR="00B07F43" w:rsidRPr="005F7776" w:rsidRDefault="00B07F43" w:rsidP="008A6A7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080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3BF56A" id="رابط مستقيم 1" o:spid="_x0000_s1026" style="position:absolute;flip:x;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 xml:space="preserve">بحث الفقه - </w:t>
    </w:r>
    <w:bookmarkStart w:id="0" w:name="_GoBack"/>
    <w:r w:rsidR="00524E83" w:rsidRPr="005F7776">
      <w:rPr>
        <w:rFonts w:ascii="mylotus" w:hAnsi="mylotus" w:cs="mylotus"/>
        <w:color w:val="FF0000"/>
        <w:sz w:val="26"/>
        <w:szCs w:val="26"/>
        <w:rtl/>
      </w:rPr>
      <w:t>كتاب الإجارة</w:t>
    </w:r>
    <w:r w:rsidR="008A6A7D">
      <w:rPr>
        <w:rFonts w:ascii="mylotus" w:hAnsi="mylotus" w:cs="mylotus" w:hint="cs"/>
        <w:color w:val="FF0000"/>
        <w:sz w:val="26"/>
        <w:szCs w:val="26"/>
        <w:rtl/>
      </w:rPr>
      <w:t xml:space="preserve"> </w:t>
    </w:r>
    <w:r w:rsidRPr="005F7776">
      <w:rPr>
        <w:rFonts w:ascii="mylotus" w:hAnsi="mylotus" w:cs="mylotus"/>
        <w:color w:val="FF0000"/>
        <w:sz w:val="26"/>
        <w:szCs w:val="26"/>
        <w:rtl/>
      </w:rPr>
      <w:t>(</w:t>
    </w:r>
    <w:r w:rsidR="00F5345A">
      <w:rPr>
        <w:rFonts w:ascii="mylotus" w:hAnsi="mylotus" w:cs="mylotus" w:hint="cs"/>
        <w:color w:val="FF0000"/>
        <w:sz w:val="26"/>
        <w:szCs w:val="26"/>
        <w:rtl/>
      </w:rPr>
      <w:t>19</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F5345A">
      <w:rPr>
        <w:rFonts w:ascii="mylotus" w:hAnsi="mylotus" w:cs="mylotus" w:hint="cs"/>
        <w:color w:val="FF0000"/>
        <w:sz w:val="26"/>
        <w:szCs w:val="26"/>
        <w:rtl/>
      </w:rPr>
      <w:t>السبت</w:t>
    </w:r>
    <w:r w:rsidR="00A50831">
      <w:rPr>
        <w:rFonts w:ascii="mylotus" w:hAnsi="mylotus" w:cs="mylotus" w:hint="cs"/>
        <w:color w:val="FF0000"/>
        <w:sz w:val="26"/>
        <w:szCs w:val="26"/>
        <w:rtl/>
      </w:rPr>
      <w:t xml:space="preserve"> </w:t>
    </w:r>
    <w:r w:rsidR="00F5345A">
      <w:rPr>
        <w:rFonts w:ascii="mylotus" w:hAnsi="mylotus" w:cs="mylotus" w:hint="cs"/>
        <w:color w:val="FF0000"/>
        <w:sz w:val="26"/>
        <w:szCs w:val="26"/>
        <w:rtl/>
      </w:rPr>
      <w:t>29</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bookmarkEnd w:id="0"/>
    <w:r w:rsidR="00C51A22">
      <w:rPr>
        <w:rFonts w:ascii="mylotus" w:hAnsi="mylotus" w:cs="mylotus" w:hint="cs"/>
        <w:color w:val="FF0000"/>
        <w:sz w:val="26"/>
        <w:szCs w:val="26"/>
        <w:rtl/>
      </w:rPr>
      <w:t xml:space="preserve">        </w:t>
    </w:r>
    <w:r w:rsidR="008A6A7D">
      <w:rPr>
        <w:rFonts w:ascii="mylotus" w:hAnsi="mylotus" w:cs="mylotus" w:hint="cs"/>
        <w:color w:val="FF0000"/>
        <w:sz w:val="26"/>
        <w:szCs w:val="26"/>
        <w:rtl/>
      </w:rPr>
      <w:t xml:space="preserve"> </w:t>
    </w:r>
    <w:r w:rsidR="00C51A22">
      <w:rPr>
        <w:rFonts w:ascii="mylotus" w:hAnsi="mylotus" w:cs="mylotus" w:hint="cs"/>
        <w:color w:val="FF0000"/>
        <w:sz w:val="26"/>
        <w:szCs w:val="26"/>
        <w:rtl/>
      </w:rPr>
      <w:t xml:space="preserve">               </w:t>
    </w:r>
    <w:r w:rsidR="008A6A7D">
      <w:rPr>
        <w:rFonts w:ascii="mylotus" w:hAnsi="mylotus" w:cs="mylotus" w:hint="cs"/>
        <w:color w:val="FF0000"/>
        <w:sz w:val="26"/>
        <w:szCs w:val="26"/>
        <w:rtl/>
      </w:rPr>
      <w:t xml:space="preserve">                </w:t>
    </w:r>
    <w:r w:rsidR="00C51A2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51810" w14:textId="77777777" w:rsidR="00EC64B8" w:rsidRDefault="00EC64B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24103"/>
    <w:multiLevelType w:val="hybridMultilevel"/>
    <w:tmpl w:val="E0FA9728"/>
    <w:lvl w:ilvl="0" w:tplc="6814684E">
      <w:start w:val="1"/>
      <w:numFmt w:val="decimal"/>
      <w:lvlText w:val="%1-"/>
      <w:lvlJc w:val="left"/>
      <w:pPr>
        <w:ind w:left="977" w:hanging="360"/>
      </w:pPr>
      <w:rPr>
        <w:rFonts w:hint="default"/>
      </w:rPr>
    </w:lvl>
    <w:lvl w:ilvl="1" w:tplc="04090019" w:tentative="1">
      <w:start w:val="1"/>
      <w:numFmt w:val="lowerLetter"/>
      <w:lvlText w:val="%2."/>
      <w:lvlJc w:val="left"/>
      <w:pPr>
        <w:ind w:left="1697" w:hanging="360"/>
      </w:pPr>
    </w:lvl>
    <w:lvl w:ilvl="2" w:tplc="0409001B" w:tentative="1">
      <w:start w:val="1"/>
      <w:numFmt w:val="lowerRoman"/>
      <w:lvlText w:val="%3."/>
      <w:lvlJc w:val="right"/>
      <w:pPr>
        <w:ind w:left="2417" w:hanging="180"/>
      </w:pPr>
    </w:lvl>
    <w:lvl w:ilvl="3" w:tplc="0409000F" w:tentative="1">
      <w:start w:val="1"/>
      <w:numFmt w:val="decimal"/>
      <w:lvlText w:val="%4."/>
      <w:lvlJc w:val="left"/>
      <w:pPr>
        <w:ind w:left="3137" w:hanging="360"/>
      </w:pPr>
    </w:lvl>
    <w:lvl w:ilvl="4" w:tplc="04090019" w:tentative="1">
      <w:start w:val="1"/>
      <w:numFmt w:val="lowerLetter"/>
      <w:lvlText w:val="%5."/>
      <w:lvlJc w:val="left"/>
      <w:pPr>
        <w:ind w:left="3857" w:hanging="360"/>
      </w:pPr>
    </w:lvl>
    <w:lvl w:ilvl="5" w:tplc="0409001B" w:tentative="1">
      <w:start w:val="1"/>
      <w:numFmt w:val="lowerRoman"/>
      <w:lvlText w:val="%6."/>
      <w:lvlJc w:val="right"/>
      <w:pPr>
        <w:ind w:left="4577" w:hanging="180"/>
      </w:pPr>
    </w:lvl>
    <w:lvl w:ilvl="6" w:tplc="0409000F" w:tentative="1">
      <w:start w:val="1"/>
      <w:numFmt w:val="decimal"/>
      <w:lvlText w:val="%7."/>
      <w:lvlJc w:val="left"/>
      <w:pPr>
        <w:ind w:left="5297" w:hanging="360"/>
      </w:pPr>
    </w:lvl>
    <w:lvl w:ilvl="7" w:tplc="04090019" w:tentative="1">
      <w:start w:val="1"/>
      <w:numFmt w:val="lowerLetter"/>
      <w:lvlText w:val="%8."/>
      <w:lvlJc w:val="left"/>
      <w:pPr>
        <w:ind w:left="6017" w:hanging="360"/>
      </w:pPr>
    </w:lvl>
    <w:lvl w:ilvl="8" w:tplc="0409001B" w:tentative="1">
      <w:start w:val="1"/>
      <w:numFmt w:val="lowerRoman"/>
      <w:lvlText w:val="%9."/>
      <w:lvlJc w:val="right"/>
      <w:pPr>
        <w:ind w:left="6737" w:hanging="180"/>
      </w:pPr>
    </w:lvl>
  </w:abstractNum>
  <w:abstractNum w:abstractNumId="1">
    <w:nsid w:val="51DC2871"/>
    <w:multiLevelType w:val="hybridMultilevel"/>
    <w:tmpl w:val="98A45FA0"/>
    <w:lvl w:ilvl="0" w:tplc="0212C7F4">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378D"/>
    <w:rsid w:val="00012B79"/>
    <w:rsid w:val="00014E51"/>
    <w:rsid w:val="00030EAD"/>
    <w:rsid w:val="0003362C"/>
    <w:rsid w:val="00054F91"/>
    <w:rsid w:val="000634C0"/>
    <w:rsid w:val="00075B8F"/>
    <w:rsid w:val="00085C01"/>
    <w:rsid w:val="000868A0"/>
    <w:rsid w:val="000C2631"/>
    <w:rsid w:val="000F2D22"/>
    <w:rsid w:val="00102391"/>
    <w:rsid w:val="00104288"/>
    <w:rsid w:val="001156E2"/>
    <w:rsid w:val="001218E7"/>
    <w:rsid w:val="0012535C"/>
    <w:rsid w:val="00126819"/>
    <w:rsid w:val="00147AC0"/>
    <w:rsid w:val="001700E2"/>
    <w:rsid w:val="0018506F"/>
    <w:rsid w:val="00190CDF"/>
    <w:rsid w:val="001B36AE"/>
    <w:rsid w:val="001B7AAB"/>
    <w:rsid w:val="001C5E06"/>
    <w:rsid w:val="001D2C21"/>
    <w:rsid w:val="001D40F0"/>
    <w:rsid w:val="001D785E"/>
    <w:rsid w:val="001F034F"/>
    <w:rsid w:val="00203065"/>
    <w:rsid w:val="0022178A"/>
    <w:rsid w:val="002220AA"/>
    <w:rsid w:val="00225C1C"/>
    <w:rsid w:val="002339F1"/>
    <w:rsid w:val="00241562"/>
    <w:rsid w:val="002438AD"/>
    <w:rsid w:val="0024499D"/>
    <w:rsid w:val="002530E6"/>
    <w:rsid w:val="00255F9E"/>
    <w:rsid w:val="00257474"/>
    <w:rsid w:val="00267979"/>
    <w:rsid w:val="00273ABD"/>
    <w:rsid w:val="00283ED3"/>
    <w:rsid w:val="00292654"/>
    <w:rsid w:val="00294D72"/>
    <w:rsid w:val="002A79FA"/>
    <w:rsid w:val="002B4E62"/>
    <w:rsid w:val="002B5064"/>
    <w:rsid w:val="002C3704"/>
    <w:rsid w:val="002D0D9E"/>
    <w:rsid w:val="002D2D63"/>
    <w:rsid w:val="002D6EFE"/>
    <w:rsid w:val="002D7FE0"/>
    <w:rsid w:val="002F1501"/>
    <w:rsid w:val="0030472F"/>
    <w:rsid w:val="00311C81"/>
    <w:rsid w:val="00316628"/>
    <w:rsid w:val="003228E8"/>
    <w:rsid w:val="00331615"/>
    <w:rsid w:val="00341791"/>
    <w:rsid w:val="00344634"/>
    <w:rsid w:val="0035443E"/>
    <w:rsid w:val="0035715B"/>
    <w:rsid w:val="00384B18"/>
    <w:rsid w:val="00387101"/>
    <w:rsid w:val="003A4C77"/>
    <w:rsid w:val="003A58D0"/>
    <w:rsid w:val="003C27B3"/>
    <w:rsid w:val="003C5C22"/>
    <w:rsid w:val="003E28FC"/>
    <w:rsid w:val="003E60E7"/>
    <w:rsid w:val="003E7565"/>
    <w:rsid w:val="00402155"/>
    <w:rsid w:val="00416FF8"/>
    <w:rsid w:val="00417B1F"/>
    <w:rsid w:val="00426274"/>
    <w:rsid w:val="00434EF0"/>
    <w:rsid w:val="00436745"/>
    <w:rsid w:val="004417B4"/>
    <w:rsid w:val="00444116"/>
    <w:rsid w:val="00453039"/>
    <w:rsid w:val="004619CE"/>
    <w:rsid w:val="004713E0"/>
    <w:rsid w:val="00472331"/>
    <w:rsid w:val="00485118"/>
    <w:rsid w:val="00487DED"/>
    <w:rsid w:val="004A2B32"/>
    <w:rsid w:val="004B03A0"/>
    <w:rsid w:val="004B14A5"/>
    <w:rsid w:val="004B76A6"/>
    <w:rsid w:val="004C18CA"/>
    <w:rsid w:val="004C2054"/>
    <w:rsid w:val="004D6F7D"/>
    <w:rsid w:val="004D79D8"/>
    <w:rsid w:val="0050790C"/>
    <w:rsid w:val="0051676D"/>
    <w:rsid w:val="00524E83"/>
    <w:rsid w:val="00526211"/>
    <w:rsid w:val="005365F6"/>
    <w:rsid w:val="00560065"/>
    <w:rsid w:val="0058437E"/>
    <w:rsid w:val="00591778"/>
    <w:rsid w:val="00595632"/>
    <w:rsid w:val="00595A58"/>
    <w:rsid w:val="005A573C"/>
    <w:rsid w:val="005D1880"/>
    <w:rsid w:val="005D3B52"/>
    <w:rsid w:val="005F0F6F"/>
    <w:rsid w:val="005F70FF"/>
    <w:rsid w:val="005F7776"/>
    <w:rsid w:val="0060278A"/>
    <w:rsid w:val="00612084"/>
    <w:rsid w:val="006153A9"/>
    <w:rsid w:val="006175B3"/>
    <w:rsid w:val="00622F2E"/>
    <w:rsid w:val="006254BE"/>
    <w:rsid w:val="006261C2"/>
    <w:rsid w:val="006333B1"/>
    <w:rsid w:val="00646A5D"/>
    <w:rsid w:val="00652CA2"/>
    <w:rsid w:val="0067710E"/>
    <w:rsid w:val="00694C4A"/>
    <w:rsid w:val="00696BDC"/>
    <w:rsid w:val="006A3CD3"/>
    <w:rsid w:val="006B2D8C"/>
    <w:rsid w:val="006C341E"/>
    <w:rsid w:val="006C6C7F"/>
    <w:rsid w:val="006D031B"/>
    <w:rsid w:val="006D0642"/>
    <w:rsid w:val="006D6E7E"/>
    <w:rsid w:val="006E1B18"/>
    <w:rsid w:val="006F6650"/>
    <w:rsid w:val="00700C70"/>
    <w:rsid w:val="00701077"/>
    <w:rsid w:val="00701E4F"/>
    <w:rsid w:val="00722C65"/>
    <w:rsid w:val="007237A9"/>
    <w:rsid w:val="007310D4"/>
    <w:rsid w:val="00735407"/>
    <w:rsid w:val="00740CF8"/>
    <w:rsid w:val="00745922"/>
    <w:rsid w:val="00753B14"/>
    <w:rsid w:val="0076539C"/>
    <w:rsid w:val="00776E98"/>
    <w:rsid w:val="00781258"/>
    <w:rsid w:val="0078607A"/>
    <w:rsid w:val="00791C2B"/>
    <w:rsid w:val="007926E8"/>
    <w:rsid w:val="007A1A5D"/>
    <w:rsid w:val="007A59E2"/>
    <w:rsid w:val="007B25DF"/>
    <w:rsid w:val="007D0826"/>
    <w:rsid w:val="007D2646"/>
    <w:rsid w:val="007D2DF4"/>
    <w:rsid w:val="007D3C58"/>
    <w:rsid w:val="007D6129"/>
    <w:rsid w:val="007F2A1F"/>
    <w:rsid w:val="007F5434"/>
    <w:rsid w:val="0080085D"/>
    <w:rsid w:val="00805D8F"/>
    <w:rsid w:val="00817A27"/>
    <w:rsid w:val="008246C3"/>
    <w:rsid w:val="0083217D"/>
    <w:rsid w:val="00836BC1"/>
    <w:rsid w:val="00850894"/>
    <w:rsid w:val="0085748D"/>
    <w:rsid w:val="00871A76"/>
    <w:rsid w:val="00886478"/>
    <w:rsid w:val="008920CB"/>
    <w:rsid w:val="00894564"/>
    <w:rsid w:val="00895528"/>
    <w:rsid w:val="008A6A7D"/>
    <w:rsid w:val="008A7669"/>
    <w:rsid w:val="008B2BF2"/>
    <w:rsid w:val="008B5A1B"/>
    <w:rsid w:val="008B6C9C"/>
    <w:rsid w:val="008C18BC"/>
    <w:rsid w:val="008C59F7"/>
    <w:rsid w:val="008D0522"/>
    <w:rsid w:val="008D1AF3"/>
    <w:rsid w:val="008D2DBE"/>
    <w:rsid w:val="008E10C9"/>
    <w:rsid w:val="008F2EA0"/>
    <w:rsid w:val="009076DD"/>
    <w:rsid w:val="009153E5"/>
    <w:rsid w:val="009420EB"/>
    <w:rsid w:val="00946D46"/>
    <w:rsid w:val="00950CF6"/>
    <w:rsid w:val="00952DCA"/>
    <w:rsid w:val="0095312D"/>
    <w:rsid w:val="0095723E"/>
    <w:rsid w:val="00963C62"/>
    <w:rsid w:val="00964B73"/>
    <w:rsid w:val="0096623A"/>
    <w:rsid w:val="00970993"/>
    <w:rsid w:val="00971FB8"/>
    <w:rsid w:val="0097647D"/>
    <w:rsid w:val="0098243C"/>
    <w:rsid w:val="0098687C"/>
    <w:rsid w:val="00994D9F"/>
    <w:rsid w:val="009954B5"/>
    <w:rsid w:val="009B1550"/>
    <w:rsid w:val="009C701E"/>
    <w:rsid w:val="009C7860"/>
    <w:rsid w:val="009D3A64"/>
    <w:rsid w:val="009D6188"/>
    <w:rsid w:val="009D6705"/>
    <w:rsid w:val="009D7D48"/>
    <w:rsid w:val="009E5EBF"/>
    <w:rsid w:val="009E651D"/>
    <w:rsid w:val="009F4BE3"/>
    <w:rsid w:val="00A04BE3"/>
    <w:rsid w:val="00A0527F"/>
    <w:rsid w:val="00A06115"/>
    <w:rsid w:val="00A1068D"/>
    <w:rsid w:val="00A125F8"/>
    <w:rsid w:val="00A162A4"/>
    <w:rsid w:val="00A43232"/>
    <w:rsid w:val="00A5027D"/>
    <w:rsid w:val="00A50831"/>
    <w:rsid w:val="00A53B73"/>
    <w:rsid w:val="00A53FEA"/>
    <w:rsid w:val="00A66546"/>
    <w:rsid w:val="00A86FDF"/>
    <w:rsid w:val="00A92C34"/>
    <w:rsid w:val="00A932D7"/>
    <w:rsid w:val="00AA74E6"/>
    <w:rsid w:val="00AB0BF9"/>
    <w:rsid w:val="00AB2506"/>
    <w:rsid w:val="00AB4593"/>
    <w:rsid w:val="00AB54F3"/>
    <w:rsid w:val="00AC0335"/>
    <w:rsid w:val="00AC2737"/>
    <w:rsid w:val="00AE3EA6"/>
    <w:rsid w:val="00AE6F9E"/>
    <w:rsid w:val="00AF5F6B"/>
    <w:rsid w:val="00AF658D"/>
    <w:rsid w:val="00B05107"/>
    <w:rsid w:val="00B05627"/>
    <w:rsid w:val="00B07F43"/>
    <w:rsid w:val="00B148FC"/>
    <w:rsid w:val="00B15C12"/>
    <w:rsid w:val="00B24C0B"/>
    <w:rsid w:val="00B27FD9"/>
    <w:rsid w:val="00B3497A"/>
    <w:rsid w:val="00B35E70"/>
    <w:rsid w:val="00B42E19"/>
    <w:rsid w:val="00B44892"/>
    <w:rsid w:val="00B4551F"/>
    <w:rsid w:val="00B45DF1"/>
    <w:rsid w:val="00B65C14"/>
    <w:rsid w:val="00B70A67"/>
    <w:rsid w:val="00B77EC8"/>
    <w:rsid w:val="00B81EB8"/>
    <w:rsid w:val="00B87CBD"/>
    <w:rsid w:val="00B96BED"/>
    <w:rsid w:val="00BA53AA"/>
    <w:rsid w:val="00BB1CD3"/>
    <w:rsid w:val="00BB572E"/>
    <w:rsid w:val="00BC39C9"/>
    <w:rsid w:val="00BD2206"/>
    <w:rsid w:val="00BD26E3"/>
    <w:rsid w:val="00BD7A64"/>
    <w:rsid w:val="00BF0852"/>
    <w:rsid w:val="00C0172C"/>
    <w:rsid w:val="00C017CB"/>
    <w:rsid w:val="00C02079"/>
    <w:rsid w:val="00C13A2A"/>
    <w:rsid w:val="00C13ED2"/>
    <w:rsid w:val="00C22646"/>
    <w:rsid w:val="00C24C25"/>
    <w:rsid w:val="00C3133B"/>
    <w:rsid w:val="00C35363"/>
    <w:rsid w:val="00C51A22"/>
    <w:rsid w:val="00C57595"/>
    <w:rsid w:val="00C57BF1"/>
    <w:rsid w:val="00C678F4"/>
    <w:rsid w:val="00C705EB"/>
    <w:rsid w:val="00C72348"/>
    <w:rsid w:val="00C83005"/>
    <w:rsid w:val="00C90D23"/>
    <w:rsid w:val="00C96172"/>
    <w:rsid w:val="00C9737F"/>
    <w:rsid w:val="00C97837"/>
    <w:rsid w:val="00CB1F7A"/>
    <w:rsid w:val="00CB58D0"/>
    <w:rsid w:val="00CB5F23"/>
    <w:rsid w:val="00CC0BC2"/>
    <w:rsid w:val="00CC72D7"/>
    <w:rsid w:val="00CD4C3D"/>
    <w:rsid w:val="00CE6FAD"/>
    <w:rsid w:val="00CF60B7"/>
    <w:rsid w:val="00D05950"/>
    <w:rsid w:val="00D12BC7"/>
    <w:rsid w:val="00D258B5"/>
    <w:rsid w:val="00D31E52"/>
    <w:rsid w:val="00D411AE"/>
    <w:rsid w:val="00D82E19"/>
    <w:rsid w:val="00D83D98"/>
    <w:rsid w:val="00D84C80"/>
    <w:rsid w:val="00D906DC"/>
    <w:rsid w:val="00D965CE"/>
    <w:rsid w:val="00DA0B26"/>
    <w:rsid w:val="00DA7AC6"/>
    <w:rsid w:val="00DB1F3D"/>
    <w:rsid w:val="00DC53CD"/>
    <w:rsid w:val="00DC6D44"/>
    <w:rsid w:val="00DD08B6"/>
    <w:rsid w:val="00DE0EE8"/>
    <w:rsid w:val="00DE7CA1"/>
    <w:rsid w:val="00DF0E53"/>
    <w:rsid w:val="00DF1A38"/>
    <w:rsid w:val="00DF2071"/>
    <w:rsid w:val="00E20D9C"/>
    <w:rsid w:val="00E37303"/>
    <w:rsid w:val="00E50090"/>
    <w:rsid w:val="00E5678F"/>
    <w:rsid w:val="00E567DE"/>
    <w:rsid w:val="00E62472"/>
    <w:rsid w:val="00E62F33"/>
    <w:rsid w:val="00E706A4"/>
    <w:rsid w:val="00E73CE3"/>
    <w:rsid w:val="00E7460D"/>
    <w:rsid w:val="00E80680"/>
    <w:rsid w:val="00E91C1E"/>
    <w:rsid w:val="00E925D2"/>
    <w:rsid w:val="00EB313E"/>
    <w:rsid w:val="00EB3FF6"/>
    <w:rsid w:val="00EC0098"/>
    <w:rsid w:val="00EC2D5F"/>
    <w:rsid w:val="00EC3F91"/>
    <w:rsid w:val="00EC64B8"/>
    <w:rsid w:val="00ED27C3"/>
    <w:rsid w:val="00ED7012"/>
    <w:rsid w:val="00EF4A02"/>
    <w:rsid w:val="00EF4E74"/>
    <w:rsid w:val="00F03EE5"/>
    <w:rsid w:val="00F102E2"/>
    <w:rsid w:val="00F13ED3"/>
    <w:rsid w:val="00F2232F"/>
    <w:rsid w:val="00F24EC7"/>
    <w:rsid w:val="00F31F05"/>
    <w:rsid w:val="00F37D12"/>
    <w:rsid w:val="00F52DC7"/>
    <w:rsid w:val="00F5345A"/>
    <w:rsid w:val="00F6280E"/>
    <w:rsid w:val="00F6536F"/>
    <w:rsid w:val="00F65958"/>
    <w:rsid w:val="00F72C84"/>
    <w:rsid w:val="00F72F28"/>
    <w:rsid w:val="00F760D6"/>
    <w:rsid w:val="00F76336"/>
    <w:rsid w:val="00F83D13"/>
    <w:rsid w:val="00F9000E"/>
    <w:rsid w:val="00FB2461"/>
    <w:rsid w:val="00FB61E8"/>
    <w:rsid w:val="00FC2FF8"/>
    <w:rsid w:val="00FC7F35"/>
    <w:rsid w:val="00FD750B"/>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F7EE5-4882-45CE-B1CE-C13BAD128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1230</Words>
  <Characters>7017</Characters>
  <Application>Microsoft Office Word</Application>
  <DocSecurity>0</DocSecurity>
  <Lines>58</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2</cp:revision>
  <cp:lastPrinted>2024-01-08T18:08:00Z</cp:lastPrinted>
  <dcterms:created xsi:type="dcterms:W3CDTF">2024-02-10T19:14:00Z</dcterms:created>
  <dcterms:modified xsi:type="dcterms:W3CDTF">2024-02-10T19:14:00Z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b948d1dd2832227a0a06bdfe59bf5be8dbb9710ddb437ae6d3a37a1e7c63d11f</vt:lpwstr>
  </property>
</Properties>
</file>