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0B0950">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0B0950">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0B0950">
      <w:pPr>
        <w:pStyle w:val="a0"/>
        <w:widowControl w:val="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1B0E489" w14:textId="6596BEC5" w:rsidR="00DF2071" w:rsidRDefault="00DF2071" w:rsidP="000B0950">
      <w:pPr>
        <w:pStyle w:val="a0"/>
        <w:widowControl w:val="0"/>
        <w:bidi/>
        <w:spacing w:line="216" w:lineRule="auto"/>
        <w:ind w:firstLine="0"/>
        <w:rPr>
          <w:rFonts w:ascii="mylotus" w:hAnsi="mylotus"/>
          <w:sz w:val="34"/>
          <w:szCs w:val="34"/>
          <w:rtl/>
        </w:rPr>
      </w:pPr>
    </w:p>
    <w:p w14:paraId="29FEA686" w14:textId="68FE42CA"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b/>
          <w:bCs/>
          <w:sz w:val="34"/>
          <w:szCs w:val="34"/>
          <w:rtl/>
        </w:rPr>
        <w:t>والمتحصل:</w:t>
      </w:r>
      <w:r w:rsidRPr="00AC7A32">
        <w:rPr>
          <w:rFonts w:ascii="mylotus" w:hAnsi="mylotus"/>
          <w:sz w:val="34"/>
          <w:szCs w:val="34"/>
          <w:rtl/>
        </w:rPr>
        <w:t xml:space="preserve"> أن العقد والبيع هو عبارة عن العلقة الوضعية المتبادلة بين المتعاملين</w:t>
      </w:r>
      <w:r w:rsidR="000B0950">
        <w:rPr>
          <w:rFonts w:ascii="mylotus" w:hAnsi="mylotus"/>
          <w:sz w:val="34"/>
          <w:szCs w:val="34"/>
          <w:rtl/>
        </w:rPr>
        <w:t>،</w:t>
      </w:r>
      <w:r w:rsidRPr="00AC7A32">
        <w:rPr>
          <w:rFonts w:ascii="mylotus" w:hAnsi="mylotus"/>
          <w:sz w:val="34"/>
          <w:szCs w:val="34"/>
          <w:rtl/>
        </w:rPr>
        <w:t xml:space="preserve"> وليست من مقولة الألفاظ ولا</w:t>
      </w:r>
      <w:r>
        <w:rPr>
          <w:rFonts w:ascii="mylotus" w:hAnsi="mylotus" w:hint="cs"/>
          <w:sz w:val="34"/>
          <w:szCs w:val="34"/>
          <w:rtl/>
        </w:rPr>
        <w:t xml:space="preserve"> </w:t>
      </w:r>
      <w:r w:rsidRPr="00AC7A32">
        <w:rPr>
          <w:rFonts w:ascii="mylotus" w:hAnsi="mylotus"/>
          <w:sz w:val="34"/>
          <w:szCs w:val="34"/>
          <w:rtl/>
        </w:rPr>
        <w:t>من الأمور التدريجية الوجود كي يعتبر لها هيئة اتصالية</w:t>
      </w:r>
      <w:r w:rsidR="000B0950">
        <w:rPr>
          <w:rFonts w:ascii="mylotus" w:hAnsi="mylotus"/>
          <w:sz w:val="34"/>
          <w:szCs w:val="34"/>
          <w:rtl/>
        </w:rPr>
        <w:t>،</w:t>
      </w:r>
      <w:r w:rsidRPr="00AC7A32">
        <w:rPr>
          <w:rFonts w:ascii="mylotus" w:hAnsi="mylotus"/>
          <w:sz w:val="34"/>
          <w:szCs w:val="34"/>
          <w:rtl/>
        </w:rPr>
        <w:t xml:space="preserve"> كما في الصلاة والخطبة والأذان</w:t>
      </w:r>
      <w:r w:rsidR="000B0950">
        <w:rPr>
          <w:rFonts w:ascii="mylotus" w:hAnsi="mylotus"/>
          <w:sz w:val="34"/>
          <w:szCs w:val="34"/>
          <w:rtl/>
        </w:rPr>
        <w:t>،</w:t>
      </w:r>
      <w:r w:rsidRPr="00AC7A32">
        <w:rPr>
          <w:rFonts w:ascii="mylotus" w:hAnsi="mylotus"/>
          <w:sz w:val="34"/>
          <w:szCs w:val="34"/>
          <w:rtl/>
        </w:rPr>
        <w:t xml:space="preserve"> وتسميتها بالعقد بلحاظ أنها صارت عقدة كعقدة الخيط بقرار الطرفين</w:t>
      </w:r>
      <w:r w:rsidR="000B0950">
        <w:rPr>
          <w:rFonts w:ascii="mylotus" w:hAnsi="mylotus"/>
          <w:sz w:val="34"/>
          <w:szCs w:val="34"/>
          <w:rtl/>
        </w:rPr>
        <w:t>،</w:t>
      </w:r>
      <w:r w:rsidRPr="00AC7A32">
        <w:rPr>
          <w:rFonts w:ascii="mylotus" w:hAnsi="mylotus"/>
          <w:sz w:val="34"/>
          <w:szCs w:val="34"/>
          <w:rtl/>
        </w:rPr>
        <w:t xml:space="preserve"> لكنها أمر ثابت مستمر كما هو ظاهر قوله تعالى</w:t>
      </w:r>
      <w:r>
        <w:rPr>
          <w:rFonts w:ascii="mylotus" w:hAnsi="mylotus" w:hint="cs"/>
          <w:sz w:val="34"/>
          <w:szCs w:val="34"/>
          <w:rtl/>
        </w:rPr>
        <w:t>:</w:t>
      </w:r>
      <w:r>
        <w:rPr>
          <w:rFonts w:ascii="mylotus" w:hAnsi="mylotus"/>
          <w:sz w:val="34"/>
          <w:szCs w:val="34"/>
          <w:rtl/>
        </w:rPr>
        <w:t xml:space="preserve"> (أو</w:t>
      </w:r>
      <w:r w:rsidR="000B0950">
        <w:rPr>
          <w:rFonts w:ascii="mylotus" w:hAnsi="mylotus" w:hint="cs"/>
          <w:sz w:val="34"/>
          <w:szCs w:val="34"/>
          <w:rtl/>
        </w:rPr>
        <w:t xml:space="preserve"> </w:t>
      </w:r>
      <w:r>
        <w:rPr>
          <w:rFonts w:ascii="mylotus" w:hAnsi="mylotus"/>
          <w:sz w:val="34"/>
          <w:szCs w:val="34"/>
          <w:rtl/>
        </w:rPr>
        <w:t>يعفوا الذي</w:t>
      </w:r>
      <w:r>
        <w:rPr>
          <w:rFonts w:ascii="mylotus" w:hAnsi="mylotus" w:hint="cs"/>
          <w:sz w:val="34"/>
          <w:szCs w:val="34"/>
          <w:rtl/>
        </w:rPr>
        <w:t xml:space="preserve"> </w:t>
      </w:r>
      <w:r>
        <w:rPr>
          <w:rFonts w:ascii="mylotus" w:hAnsi="mylotus"/>
          <w:sz w:val="34"/>
          <w:szCs w:val="34"/>
          <w:rtl/>
        </w:rPr>
        <w:t>بيده عقدة النكاح</w:t>
      </w:r>
      <w:r w:rsidRPr="00AC7A32">
        <w:rPr>
          <w:rFonts w:ascii="mylotus" w:hAnsi="mylotus"/>
          <w:sz w:val="34"/>
          <w:szCs w:val="34"/>
          <w:rtl/>
        </w:rPr>
        <w:t>)</w:t>
      </w:r>
      <w:r>
        <w:rPr>
          <w:rFonts w:ascii="mylotus" w:hAnsi="mylotus" w:hint="cs"/>
          <w:sz w:val="34"/>
          <w:szCs w:val="34"/>
          <w:rtl/>
        </w:rPr>
        <w:t>،</w:t>
      </w:r>
      <w:r w:rsidRPr="00AC7A32">
        <w:rPr>
          <w:rFonts w:ascii="mylotus" w:hAnsi="mylotus"/>
          <w:sz w:val="34"/>
          <w:szCs w:val="34"/>
          <w:rtl/>
        </w:rPr>
        <w:t xml:space="preserve"> بل لو قلنا بكون العقد متقوما</w:t>
      </w:r>
      <w:r>
        <w:rPr>
          <w:rFonts w:ascii="mylotus" w:hAnsi="mylotus" w:hint="cs"/>
          <w:sz w:val="34"/>
          <w:szCs w:val="34"/>
          <w:rtl/>
        </w:rPr>
        <w:t>ً</w:t>
      </w:r>
      <w:r w:rsidRPr="00AC7A32">
        <w:rPr>
          <w:rFonts w:ascii="mylotus" w:hAnsi="mylotus"/>
          <w:sz w:val="34"/>
          <w:szCs w:val="34"/>
          <w:rtl/>
        </w:rPr>
        <w:t xml:space="preserve"> بركنين</w:t>
      </w:r>
      <w:r>
        <w:rPr>
          <w:rFonts w:ascii="mylotus" w:hAnsi="mylotus" w:hint="cs"/>
          <w:sz w:val="34"/>
          <w:szCs w:val="34"/>
          <w:rtl/>
        </w:rPr>
        <w:t>:</w:t>
      </w:r>
      <w:r w:rsidRPr="00AC7A32">
        <w:rPr>
          <w:rFonts w:ascii="mylotus" w:hAnsi="mylotus"/>
          <w:sz w:val="34"/>
          <w:szCs w:val="34"/>
          <w:rtl/>
        </w:rPr>
        <w:t xml:space="preserve"> ركن معنوي وهو القراران -</w:t>
      </w:r>
      <w:r>
        <w:rPr>
          <w:rFonts w:ascii="mylotus" w:hAnsi="mylotus" w:hint="cs"/>
          <w:sz w:val="34"/>
          <w:szCs w:val="34"/>
          <w:rtl/>
        </w:rPr>
        <w:t xml:space="preserve"> </w:t>
      </w:r>
      <w:r w:rsidRPr="00AC7A32">
        <w:rPr>
          <w:rFonts w:ascii="mylotus" w:hAnsi="mylotus"/>
          <w:sz w:val="34"/>
          <w:szCs w:val="34"/>
          <w:rtl/>
        </w:rPr>
        <w:t>من البائع والمشتري -</w:t>
      </w:r>
      <w:r>
        <w:rPr>
          <w:rFonts w:ascii="mylotus" w:hAnsi="mylotus" w:hint="cs"/>
          <w:sz w:val="34"/>
          <w:szCs w:val="34"/>
          <w:rtl/>
        </w:rPr>
        <w:t xml:space="preserve"> </w:t>
      </w:r>
      <w:r>
        <w:rPr>
          <w:rFonts w:ascii="mylotus" w:hAnsi="mylotus"/>
          <w:sz w:val="34"/>
          <w:szCs w:val="34"/>
          <w:rtl/>
        </w:rPr>
        <w:t>وركن مادي وهو إبراز ال</w:t>
      </w:r>
      <w:r>
        <w:rPr>
          <w:rFonts w:ascii="mylotus" w:hAnsi="mylotus" w:hint="cs"/>
          <w:sz w:val="34"/>
          <w:szCs w:val="34"/>
          <w:rtl/>
        </w:rPr>
        <w:t>ا</w:t>
      </w:r>
      <w:r>
        <w:rPr>
          <w:rFonts w:ascii="mylotus" w:hAnsi="mylotus"/>
          <w:sz w:val="34"/>
          <w:szCs w:val="34"/>
          <w:rtl/>
        </w:rPr>
        <w:t>لتزامين النفسانيين</w:t>
      </w:r>
      <w:r w:rsidR="000B0950">
        <w:rPr>
          <w:rFonts w:ascii="mylotus" w:hAnsi="mylotus"/>
          <w:sz w:val="34"/>
          <w:szCs w:val="34"/>
          <w:rtl/>
        </w:rPr>
        <w:t xml:space="preserve"> </w:t>
      </w:r>
      <w:r w:rsidRPr="00AC7A32">
        <w:rPr>
          <w:rFonts w:ascii="mylotus" w:hAnsi="mylotus"/>
          <w:sz w:val="34"/>
          <w:szCs w:val="34"/>
          <w:rtl/>
        </w:rPr>
        <w:t>فإنه لا</w:t>
      </w:r>
      <w:r w:rsidR="000B0950">
        <w:rPr>
          <w:rFonts w:ascii="mylotus" w:hAnsi="mylotus" w:hint="cs"/>
          <w:sz w:val="34"/>
          <w:szCs w:val="34"/>
          <w:rtl/>
        </w:rPr>
        <w:t xml:space="preserve"> </w:t>
      </w:r>
      <w:r w:rsidR="000B0950">
        <w:rPr>
          <w:rFonts w:ascii="mylotus" w:hAnsi="mylotus"/>
          <w:sz w:val="34"/>
          <w:szCs w:val="34"/>
          <w:rtl/>
        </w:rPr>
        <w:t>موجب لاعتبار ال</w:t>
      </w:r>
      <w:r w:rsidR="000B0950">
        <w:rPr>
          <w:rFonts w:ascii="mylotus" w:hAnsi="mylotus" w:hint="cs"/>
          <w:sz w:val="34"/>
          <w:szCs w:val="34"/>
          <w:rtl/>
        </w:rPr>
        <w:t>ا</w:t>
      </w:r>
      <w:r w:rsidRPr="00AC7A32">
        <w:rPr>
          <w:rFonts w:ascii="mylotus" w:hAnsi="mylotus"/>
          <w:sz w:val="34"/>
          <w:szCs w:val="34"/>
          <w:rtl/>
        </w:rPr>
        <w:t>تصال بين إنشاء الإيجاب وإنشا</w:t>
      </w:r>
      <w:r>
        <w:rPr>
          <w:rFonts w:ascii="mylotus" w:hAnsi="mylotus"/>
          <w:sz w:val="34"/>
          <w:szCs w:val="34"/>
          <w:rtl/>
        </w:rPr>
        <w:t>ء القبول</w:t>
      </w:r>
      <w:r>
        <w:rPr>
          <w:rFonts w:ascii="mylotus" w:hAnsi="mylotus" w:hint="cs"/>
          <w:sz w:val="34"/>
          <w:szCs w:val="34"/>
          <w:rtl/>
        </w:rPr>
        <w:t>.</w:t>
      </w:r>
      <w:r w:rsidRPr="00AC7A32">
        <w:rPr>
          <w:rFonts w:ascii="mylotus" w:hAnsi="mylotus"/>
          <w:sz w:val="34"/>
          <w:szCs w:val="34"/>
          <w:rtl/>
        </w:rPr>
        <w:t xml:space="preserve"> والوجه في ذلك أن</w:t>
      </w:r>
      <w:r w:rsidR="000B0950">
        <w:rPr>
          <w:rFonts w:ascii="mylotus" w:hAnsi="mylotus"/>
          <w:sz w:val="34"/>
          <w:szCs w:val="34"/>
          <w:rtl/>
        </w:rPr>
        <w:t xml:space="preserve"> </w:t>
      </w:r>
      <w:r w:rsidRPr="00AC7A32">
        <w:rPr>
          <w:rFonts w:ascii="mylotus" w:hAnsi="mylotus"/>
          <w:sz w:val="34"/>
          <w:szCs w:val="34"/>
          <w:rtl/>
        </w:rPr>
        <w:t>العقد متقوم بالربط لا بالوصل، فإن العقد من العقدة والتعاقد، وهو متقوم بربط الالتزامين والتعهدين لإنشاء علقة وضعية كعلقة الملكية أو الزوجية أو الحقية، وتقومه بالربط بين الالتزامين لا يقتضي اعتبار الوصل بين طرفيه لا بحسب عالم الثبوت ولا بحسب عالم الإثبات</w:t>
      </w:r>
      <w:r w:rsidRPr="00AC7A32">
        <w:rPr>
          <w:rFonts w:ascii="mylotus" w:hAnsi="mylotus"/>
          <w:sz w:val="34"/>
          <w:szCs w:val="34"/>
        </w:rPr>
        <w:t>.</w:t>
      </w:r>
    </w:p>
    <w:p w14:paraId="29473ADF" w14:textId="64F33931"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t>أما بحسب عالم الثبوت - أي عالم الاعتبار النفساني - اعتبار الملكية من طرف البائع، واعتبار التملك من طرف المشتري - فالربط متقوم بورود الاعتبارين على متعلق واحد، فمتى ورد الاعتباران على متعلق واحد تحقق الربط بين الاعتبارين، والمفروض أنهما واردان على متعلق واحد وهو تبادل المثمن والثمن في جهة الملكية مثلا</w:t>
      </w:r>
      <w:r w:rsidR="000B0950">
        <w:rPr>
          <w:rFonts w:ascii="mylotus" w:hAnsi="mylotus"/>
          <w:sz w:val="34"/>
          <w:szCs w:val="34"/>
          <w:rtl/>
        </w:rPr>
        <w:t>،</w:t>
      </w:r>
      <w:r w:rsidRPr="00AC7A32">
        <w:rPr>
          <w:rFonts w:ascii="mylotus" w:hAnsi="mylotus"/>
          <w:sz w:val="34"/>
          <w:szCs w:val="34"/>
          <w:rtl/>
        </w:rPr>
        <w:t xml:space="preserve"> فهذا المتعلق الواحد - وهو المبادلة بين المثمن والثمن-</w:t>
      </w:r>
      <w:r w:rsidR="000B0950">
        <w:rPr>
          <w:rFonts w:ascii="mylotus" w:hAnsi="mylotus"/>
          <w:sz w:val="34"/>
          <w:szCs w:val="34"/>
          <w:rtl/>
        </w:rPr>
        <w:t xml:space="preserve"> </w:t>
      </w:r>
      <w:r w:rsidRPr="00AC7A32">
        <w:rPr>
          <w:rFonts w:ascii="mylotus" w:hAnsi="mylotus"/>
          <w:sz w:val="34"/>
          <w:szCs w:val="34"/>
          <w:rtl/>
        </w:rPr>
        <w:t>مما توارد عليه الاعتباران، وهذا التوارد كافٍ في الربط بينهما في عالم الثبوت</w:t>
      </w:r>
      <w:r w:rsidRPr="00AC7A32">
        <w:rPr>
          <w:rFonts w:ascii="mylotus" w:hAnsi="mylotus"/>
          <w:sz w:val="34"/>
          <w:szCs w:val="34"/>
        </w:rPr>
        <w:t>.</w:t>
      </w:r>
    </w:p>
    <w:p w14:paraId="048DB229" w14:textId="512ED54D" w:rsidR="00AC7A32" w:rsidRDefault="00AC7A32" w:rsidP="000B0950">
      <w:pPr>
        <w:pStyle w:val="a0"/>
        <w:widowControl w:val="0"/>
        <w:bidi/>
        <w:spacing w:line="216" w:lineRule="auto"/>
        <w:rPr>
          <w:rFonts w:ascii="mylotus" w:hAnsi="mylotus" w:hint="cs"/>
          <w:sz w:val="34"/>
          <w:szCs w:val="34"/>
          <w:rtl/>
        </w:rPr>
      </w:pPr>
      <w:r w:rsidRPr="00AC7A32">
        <w:rPr>
          <w:rFonts w:ascii="mylotus" w:hAnsi="mylotus"/>
          <w:sz w:val="34"/>
          <w:szCs w:val="34"/>
          <w:rtl/>
        </w:rPr>
        <w:t>وأما بحسب عالم الإثبات - أي إنشاء الإيجاب والقبول، سواء كان الإنشاء باللفظ أو بالفعل أو بالإشارة - فكذلك فإن كون العقد ربطاً لا يقتضي اتصالا</w:t>
      </w:r>
      <w:r w:rsidR="000B0950">
        <w:rPr>
          <w:rFonts w:ascii="mylotus" w:hAnsi="mylotus"/>
          <w:sz w:val="34"/>
          <w:szCs w:val="34"/>
          <w:rtl/>
        </w:rPr>
        <w:t xml:space="preserve"> </w:t>
      </w:r>
      <w:r w:rsidRPr="00AC7A32">
        <w:rPr>
          <w:rFonts w:ascii="mylotus" w:hAnsi="mylotus"/>
          <w:sz w:val="34"/>
          <w:szCs w:val="34"/>
          <w:rtl/>
        </w:rPr>
        <w:t>بين إنشاء الإيجاب وإنشاء القبول. والسر في ذلك أن كون العقد ربطا</w:t>
      </w:r>
      <w:r>
        <w:rPr>
          <w:rFonts w:ascii="mylotus" w:hAnsi="mylotus" w:hint="cs"/>
          <w:sz w:val="34"/>
          <w:szCs w:val="34"/>
          <w:rtl/>
        </w:rPr>
        <w:t>ً</w:t>
      </w:r>
      <w:r w:rsidRPr="00AC7A32">
        <w:rPr>
          <w:rFonts w:ascii="mylotus" w:hAnsi="mylotus"/>
          <w:sz w:val="34"/>
          <w:szCs w:val="34"/>
          <w:rtl/>
        </w:rPr>
        <w:t xml:space="preserve"> لا</w:t>
      </w:r>
      <w:r>
        <w:rPr>
          <w:rFonts w:ascii="mylotus" w:hAnsi="mylotus" w:hint="cs"/>
          <w:sz w:val="34"/>
          <w:szCs w:val="34"/>
          <w:rtl/>
        </w:rPr>
        <w:t xml:space="preserve"> </w:t>
      </w:r>
      <w:r w:rsidRPr="00AC7A32">
        <w:rPr>
          <w:rFonts w:ascii="mylotus" w:hAnsi="mylotus"/>
          <w:sz w:val="34"/>
          <w:szCs w:val="34"/>
          <w:rtl/>
        </w:rPr>
        <w:t>يعني الربط بين الألفاظ، فإن الألفاظ بما هي ألفاظ ممالا معنى للربط بينها، ولا يعني الربط بين إنشاء وإنشاء بما كذلك</w:t>
      </w:r>
      <w:r w:rsidR="000B0950">
        <w:rPr>
          <w:rFonts w:ascii="mylotus" w:hAnsi="mylotus"/>
          <w:sz w:val="34"/>
          <w:szCs w:val="34"/>
          <w:rtl/>
        </w:rPr>
        <w:t>،</w:t>
      </w:r>
      <w:r w:rsidRPr="00AC7A32">
        <w:rPr>
          <w:rFonts w:ascii="mylotus" w:hAnsi="mylotus"/>
          <w:sz w:val="34"/>
          <w:szCs w:val="34"/>
          <w:rtl/>
        </w:rPr>
        <w:t xml:space="preserve"> فإن الإنشاء بما هو وجود</w:t>
      </w:r>
      <w:r>
        <w:rPr>
          <w:rFonts w:ascii="mylotus" w:hAnsi="mylotus" w:hint="cs"/>
          <w:sz w:val="34"/>
          <w:szCs w:val="34"/>
          <w:rtl/>
        </w:rPr>
        <w:t xml:space="preserve"> </w:t>
      </w:r>
      <w:r w:rsidRPr="00AC7A32">
        <w:rPr>
          <w:rFonts w:ascii="mylotus" w:hAnsi="mylotus"/>
          <w:sz w:val="34"/>
          <w:szCs w:val="34"/>
          <w:rtl/>
        </w:rPr>
        <w:t>ذهني مما</w:t>
      </w:r>
      <w:r>
        <w:rPr>
          <w:rFonts w:ascii="mylotus" w:hAnsi="mylotus" w:hint="cs"/>
          <w:sz w:val="34"/>
          <w:szCs w:val="34"/>
          <w:rtl/>
        </w:rPr>
        <w:t xml:space="preserve"> </w:t>
      </w:r>
      <w:r w:rsidRPr="00AC7A32">
        <w:rPr>
          <w:rFonts w:ascii="mylotus" w:hAnsi="mylotus"/>
          <w:sz w:val="34"/>
          <w:szCs w:val="34"/>
          <w:rtl/>
        </w:rPr>
        <w:t xml:space="preserve">لا معنى لاعتبار الربط بينه وبين إنشاء آخر، وإنما المقصود بالربط هو الربط </w:t>
      </w:r>
      <w:r>
        <w:rPr>
          <w:rFonts w:ascii="mylotus" w:hAnsi="mylotus"/>
          <w:sz w:val="34"/>
          <w:szCs w:val="34"/>
          <w:rtl/>
        </w:rPr>
        <w:t>بين مدلول الإيجاب ومدلول القبول</w:t>
      </w:r>
      <w:r>
        <w:rPr>
          <w:rFonts w:ascii="mylotus" w:hAnsi="mylotus" w:hint="cs"/>
          <w:sz w:val="34"/>
          <w:szCs w:val="34"/>
          <w:rtl/>
        </w:rPr>
        <w:t>.</w:t>
      </w:r>
    </w:p>
    <w:p w14:paraId="2CAA4ED6" w14:textId="594B3A46"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t xml:space="preserve">وبما أن الربط المنظور إليه في العقد هو الربط بين المدلولين - مدلول الايجاب ومدلول القبول - فيكفي في تحقق ذلك الربط أن يكون الإيجاب تسبيباً للملكية ويكون القبول إنشاء لمثله أو تملكاً أو </w:t>
      </w:r>
      <w:r w:rsidRPr="00AC7A32">
        <w:rPr>
          <w:rFonts w:ascii="mylotus" w:hAnsi="mylotus"/>
          <w:sz w:val="34"/>
          <w:szCs w:val="34"/>
          <w:rtl/>
        </w:rPr>
        <w:lastRenderedPageBreak/>
        <w:t>إنفاذاً - حسب المباني المختلفة في المقام</w:t>
      </w:r>
      <w:r w:rsidR="000B0950">
        <w:rPr>
          <w:rFonts w:ascii="mylotus" w:hAnsi="mylotus"/>
          <w:sz w:val="34"/>
          <w:szCs w:val="34"/>
          <w:rtl/>
        </w:rPr>
        <w:t xml:space="preserve"> </w:t>
      </w:r>
      <w:r w:rsidRPr="00AC7A32">
        <w:rPr>
          <w:rFonts w:ascii="mylotus" w:hAnsi="mylotus"/>
          <w:sz w:val="34"/>
          <w:szCs w:val="34"/>
          <w:rtl/>
        </w:rPr>
        <w:t>-، فمجرد نظر القبول</w:t>
      </w:r>
      <w:r w:rsidR="000B0950">
        <w:rPr>
          <w:rFonts w:ascii="mylotus" w:hAnsi="mylotus"/>
          <w:sz w:val="34"/>
          <w:szCs w:val="34"/>
          <w:rtl/>
        </w:rPr>
        <w:t xml:space="preserve"> </w:t>
      </w:r>
      <w:r w:rsidRPr="00AC7A32">
        <w:rPr>
          <w:rFonts w:ascii="mylotus" w:hAnsi="mylotus"/>
          <w:sz w:val="34"/>
          <w:szCs w:val="34"/>
          <w:rtl/>
        </w:rPr>
        <w:t>لما قام به الموجب من التسبيب لإيجاد الملكية يكفي في تحقق الربط بينهما، وكون المركب التدريجي ذا عنوان واحد وأثر واحد لا</w:t>
      </w:r>
      <w:r>
        <w:rPr>
          <w:rFonts w:ascii="mylotus" w:hAnsi="mylotus" w:hint="cs"/>
          <w:sz w:val="34"/>
          <w:szCs w:val="34"/>
          <w:rtl/>
        </w:rPr>
        <w:t xml:space="preserve"> </w:t>
      </w:r>
      <w:r w:rsidRPr="00AC7A32">
        <w:rPr>
          <w:rFonts w:ascii="mylotus" w:hAnsi="mylotus"/>
          <w:sz w:val="34"/>
          <w:szCs w:val="34"/>
          <w:rtl/>
        </w:rPr>
        <w:t>يقتضي عرفا</w:t>
      </w:r>
      <w:r>
        <w:rPr>
          <w:rFonts w:ascii="mylotus" w:hAnsi="mylotus" w:hint="cs"/>
          <w:sz w:val="34"/>
          <w:szCs w:val="34"/>
          <w:rtl/>
        </w:rPr>
        <w:t>ً</w:t>
      </w:r>
      <w:r w:rsidRPr="00AC7A32">
        <w:rPr>
          <w:rFonts w:ascii="mylotus" w:hAnsi="mylotus"/>
          <w:sz w:val="34"/>
          <w:szCs w:val="34"/>
          <w:rtl/>
        </w:rPr>
        <w:t xml:space="preserve"> الموالاة بين الإيجاب والقبول</w:t>
      </w:r>
      <w:r w:rsidR="000B0950">
        <w:rPr>
          <w:rFonts w:ascii="mylotus" w:hAnsi="mylotus"/>
          <w:sz w:val="34"/>
          <w:szCs w:val="34"/>
          <w:rtl/>
        </w:rPr>
        <w:t>،</w:t>
      </w:r>
      <w:r w:rsidRPr="00AC7A32">
        <w:rPr>
          <w:rFonts w:ascii="mylotus" w:hAnsi="mylotus"/>
          <w:sz w:val="34"/>
          <w:szCs w:val="34"/>
          <w:rtl/>
        </w:rPr>
        <w:t xml:space="preserve"> كما في الغسل وقراءة القرآن والكتاب والحج ونحوه</w:t>
      </w:r>
      <w:r w:rsidR="000B0950">
        <w:rPr>
          <w:rFonts w:ascii="mylotus" w:hAnsi="mylotus"/>
          <w:sz w:val="34"/>
          <w:szCs w:val="34"/>
          <w:rtl/>
        </w:rPr>
        <w:t>،</w:t>
      </w:r>
      <w:r w:rsidRPr="00AC7A32">
        <w:rPr>
          <w:rFonts w:ascii="mylotus" w:hAnsi="mylotus"/>
          <w:sz w:val="34"/>
          <w:szCs w:val="34"/>
          <w:rtl/>
        </w:rPr>
        <w:t xml:space="preserve"> واعتبار الموالاة في غيره كالوضوء والصلاة وال</w:t>
      </w:r>
      <w:r>
        <w:rPr>
          <w:rFonts w:ascii="mylotus" w:hAnsi="mylotus"/>
          <w:sz w:val="34"/>
          <w:szCs w:val="34"/>
          <w:rtl/>
        </w:rPr>
        <w:t>طواف للدليل الخاص ولو كان هو ال</w:t>
      </w:r>
      <w:r>
        <w:rPr>
          <w:rFonts w:ascii="mylotus" w:hAnsi="mylotus" w:hint="cs"/>
          <w:sz w:val="34"/>
          <w:szCs w:val="34"/>
          <w:rtl/>
        </w:rPr>
        <w:t>ا</w:t>
      </w:r>
      <w:r w:rsidRPr="00AC7A32">
        <w:rPr>
          <w:rFonts w:ascii="mylotus" w:hAnsi="mylotus"/>
          <w:sz w:val="34"/>
          <w:szCs w:val="34"/>
          <w:rtl/>
        </w:rPr>
        <w:t xml:space="preserve">رتكاز </w:t>
      </w:r>
      <w:proofErr w:type="spellStart"/>
      <w:r w:rsidRPr="00AC7A32">
        <w:rPr>
          <w:rFonts w:ascii="mylotus" w:hAnsi="mylotus"/>
          <w:sz w:val="34"/>
          <w:szCs w:val="34"/>
          <w:rtl/>
        </w:rPr>
        <w:t>المتشرعي</w:t>
      </w:r>
      <w:proofErr w:type="spellEnd"/>
      <w:r w:rsidR="000B0950">
        <w:rPr>
          <w:rFonts w:ascii="mylotus" w:hAnsi="mylotus"/>
          <w:sz w:val="34"/>
          <w:szCs w:val="34"/>
          <w:rtl/>
        </w:rPr>
        <w:t>.</w:t>
      </w:r>
    </w:p>
    <w:p w14:paraId="1C9F28B5" w14:textId="7611D1B3"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b/>
          <w:bCs/>
          <w:sz w:val="34"/>
          <w:szCs w:val="34"/>
          <w:rtl/>
        </w:rPr>
        <w:t>والنتيجة:</w:t>
      </w:r>
      <w:r>
        <w:rPr>
          <w:rFonts w:ascii="mylotus" w:hAnsi="mylotus" w:hint="cs"/>
          <w:b/>
          <w:bCs/>
          <w:sz w:val="34"/>
          <w:szCs w:val="34"/>
          <w:rtl/>
        </w:rPr>
        <w:t xml:space="preserve"> </w:t>
      </w:r>
      <w:r w:rsidRPr="00AC7A32">
        <w:rPr>
          <w:rFonts w:ascii="mylotus" w:hAnsi="mylotus"/>
          <w:sz w:val="34"/>
          <w:szCs w:val="34"/>
          <w:rtl/>
        </w:rPr>
        <w:t>هي عدم اعتبار الاتصا</w:t>
      </w:r>
      <w:r>
        <w:rPr>
          <w:rFonts w:ascii="mylotus" w:hAnsi="mylotus"/>
          <w:sz w:val="34"/>
          <w:szCs w:val="34"/>
          <w:rtl/>
        </w:rPr>
        <w:t>ل والموالاة بين الإيجاب والقبول</w:t>
      </w:r>
      <w:r w:rsidRPr="00AC7A32">
        <w:rPr>
          <w:rFonts w:ascii="mylotus" w:hAnsi="mylotus"/>
          <w:sz w:val="34"/>
          <w:szCs w:val="34"/>
          <w:rtl/>
        </w:rPr>
        <w:t xml:space="preserve"> لعدم الدليل عليها</w:t>
      </w:r>
      <w:r>
        <w:rPr>
          <w:rFonts w:ascii="mylotus" w:hAnsi="mylotus" w:hint="cs"/>
          <w:sz w:val="34"/>
          <w:szCs w:val="34"/>
          <w:rtl/>
        </w:rPr>
        <w:t>،</w:t>
      </w:r>
      <w:r w:rsidR="000B0950">
        <w:rPr>
          <w:rFonts w:ascii="mylotus" w:hAnsi="mylotus"/>
          <w:sz w:val="34"/>
          <w:szCs w:val="34"/>
          <w:rtl/>
        </w:rPr>
        <w:t xml:space="preserve"> </w:t>
      </w:r>
      <w:r w:rsidRPr="00AC7A32">
        <w:rPr>
          <w:rFonts w:ascii="mylotus" w:hAnsi="mylotus"/>
          <w:sz w:val="34"/>
          <w:szCs w:val="34"/>
          <w:rtl/>
        </w:rPr>
        <w:t>وفاق</w:t>
      </w:r>
      <w:r>
        <w:rPr>
          <w:rFonts w:ascii="mylotus" w:hAnsi="mylotus"/>
          <w:sz w:val="34"/>
          <w:szCs w:val="34"/>
          <w:rtl/>
        </w:rPr>
        <w:t xml:space="preserve">اً للسيد </w:t>
      </w:r>
      <w:proofErr w:type="spellStart"/>
      <w:r>
        <w:rPr>
          <w:rFonts w:ascii="mylotus" w:hAnsi="mylotus"/>
          <w:sz w:val="34"/>
          <w:szCs w:val="34"/>
          <w:rtl/>
        </w:rPr>
        <w:t>اليزدي</w:t>
      </w:r>
      <w:proofErr w:type="spellEnd"/>
      <w:r>
        <w:rPr>
          <w:rFonts w:ascii="mylotus" w:hAnsi="mylotus"/>
          <w:sz w:val="34"/>
          <w:szCs w:val="34"/>
          <w:rtl/>
        </w:rPr>
        <w:t xml:space="preserve"> قد</w:t>
      </w:r>
      <w:r>
        <w:rPr>
          <w:rFonts w:ascii="mylotus" w:hAnsi="mylotus" w:hint="cs"/>
          <w:sz w:val="34"/>
          <w:szCs w:val="34"/>
          <w:rtl/>
        </w:rPr>
        <w:t>س سره</w:t>
      </w:r>
      <w:r>
        <w:rPr>
          <w:rFonts w:ascii="mylotus" w:hAnsi="mylotus"/>
          <w:sz w:val="34"/>
          <w:szCs w:val="34"/>
          <w:rtl/>
        </w:rPr>
        <w:t xml:space="preserve"> </w:t>
      </w:r>
      <w:r>
        <w:rPr>
          <w:rFonts w:ascii="mylotus" w:hAnsi="mylotus" w:hint="cs"/>
          <w:sz w:val="34"/>
          <w:szCs w:val="34"/>
          <w:rtl/>
        </w:rPr>
        <w:t>[</w:t>
      </w:r>
      <w:r w:rsidRPr="00AC7A32">
        <w:rPr>
          <w:rFonts w:ascii="mylotus" w:hAnsi="mylotus"/>
          <w:sz w:val="34"/>
          <w:szCs w:val="34"/>
          <w:rtl/>
        </w:rPr>
        <w:t>حاشيته على المكاسب ج1 ص90</w:t>
      </w:r>
      <w:r>
        <w:rPr>
          <w:rFonts w:ascii="mylotus" w:hAnsi="mylotus" w:hint="cs"/>
          <w:sz w:val="34"/>
          <w:szCs w:val="34"/>
          <w:rtl/>
        </w:rPr>
        <w:t>]</w:t>
      </w:r>
      <w:r w:rsidRPr="00AC7A32">
        <w:rPr>
          <w:rFonts w:ascii="mylotus" w:hAnsi="mylotus"/>
          <w:sz w:val="34"/>
          <w:szCs w:val="34"/>
          <w:rtl/>
        </w:rPr>
        <w:t xml:space="preserve"> وسيدنا الخوئي قد</w:t>
      </w:r>
      <w:r>
        <w:rPr>
          <w:rFonts w:ascii="mylotus" w:hAnsi="mylotus" w:hint="cs"/>
          <w:sz w:val="34"/>
          <w:szCs w:val="34"/>
          <w:rtl/>
        </w:rPr>
        <w:t>س سر</w:t>
      </w:r>
      <w:r>
        <w:rPr>
          <w:rFonts w:ascii="mylotus" w:hAnsi="mylotus"/>
          <w:sz w:val="34"/>
          <w:szCs w:val="34"/>
          <w:rtl/>
        </w:rPr>
        <w:t>ه</w:t>
      </w:r>
      <w:r w:rsidR="000B0950">
        <w:rPr>
          <w:rFonts w:ascii="mylotus" w:hAnsi="mylotus"/>
          <w:sz w:val="34"/>
          <w:szCs w:val="34"/>
          <w:rtl/>
        </w:rPr>
        <w:t xml:space="preserve"> </w:t>
      </w:r>
      <w:r>
        <w:rPr>
          <w:rFonts w:ascii="mylotus" w:hAnsi="mylotus" w:hint="cs"/>
          <w:sz w:val="34"/>
          <w:szCs w:val="34"/>
          <w:rtl/>
        </w:rPr>
        <w:t>[</w:t>
      </w:r>
      <w:r w:rsidRPr="00AC7A32">
        <w:rPr>
          <w:rFonts w:ascii="mylotus" w:hAnsi="mylotus"/>
          <w:sz w:val="34"/>
          <w:szCs w:val="34"/>
          <w:rtl/>
        </w:rPr>
        <w:t>مصباح الفقاهة ج3</w:t>
      </w:r>
      <w:r>
        <w:rPr>
          <w:rFonts w:ascii="mylotus" w:hAnsi="mylotus" w:hint="cs"/>
          <w:sz w:val="34"/>
          <w:szCs w:val="34"/>
          <w:rtl/>
        </w:rPr>
        <w:t xml:space="preserve"> </w:t>
      </w:r>
      <w:r w:rsidRPr="00AC7A32">
        <w:rPr>
          <w:rFonts w:ascii="mylotus" w:hAnsi="mylotus"/>
          <w:sz w:val="34"/>
          <w:szCs w:val="34"/>
          <w:rtl/>
        </w:rPr>
        <w:t>ص58</w:t>
      </w:r>
      <w:r>
        <w:rPr>
          <w:rFonts w:ascii="mylotus" w:hAnsi="mylotus" w:hint="cs"/>
          <w:sz w:val="34"/>
          <w:szCs w:val="34"/>
          <w:rtl/>
        </w:rPr>
        <w:t>]</w:t>
      </w:r>
      <w:r>
        <w:rPr>
          <w:rFonts w:ascii="mylotus" w:hAnsi="mylotus"/>
          <w:sz w:val="34"/>
          <w:szCs w:val="34"/>
          <w:rtl/>
        </w:rPr>
        <w:t xml:space="preserve"> وشيخنا الأستاذ الشيخ التبريزي</w:t>
      </w:r>
      <w:r>
        <w:rPr>
          <w:rFonts w:ascii="mylotus" w:hAnsi="mylotus" w:hint="cs"/>
          <w:sz w:val="34"/>
          <w:szCs w:val="34"/>
          <w:rtl/>
        </w:rPr>
        <w:t>[</w:t>
      </w:r>
      <w:r w:rsidRPr="00AC7A32">
        <w:rPr>
          <w:rFonts w:ascii="mylotus" w:hAnsi="mylotus"/>
          <w:sz w:val="34"/>
          <w:szCs w:val="34"/>
          <w:rtl/>
        </w:rPr>
        <w:t>إرشاد الطالب ج2</w:t>
      </w:r>
      <w:r>
        <w:rPr>
          <w:rFonts w:ascii="mylotus" w:hAnsi="mylotus" w:hint="cs"/>
          <w:sz w:val="34"/>
          <w:szCs w:val="34"/>
          <w:rtl/>
        </w:rPr>
        <w:t xml:space="preserve"> </w:t>
      </w:r>
      <w:r w:rsidRPr="00AC7A32">
        <w:rPr>
          <w:rFonts w:ascii="mylotus" w:hAnsi="mylotus"/>
          <w:sz w:val="34"/>
          <w:szCs w:val="34"/>
          <w:rtl/>
        </w:rPr>
        <w:t>ص117</w:t>
      </w:r>
      <w:r>
        <w:rPr>
          <w:rFonts w:ascii="mylotus" w:hAnsi="mylotus" w:hint="cs"/>
          <w:sz w:val="34"/>
          <w:szCs w:val="34"/>
          <w:rtl/>
        </w:rPr>
        <w:t>]</w:t>
      </w:r>
      <w:r w:rsidR="000B0950">
        <w:rPr>
          <w:rFonts w:ascii="mylotus" w:hAnsi="mylotus"/>
          <w:sz w:val="34"/>
          <w:szCs w:val="34"/>
          <w:rtl/>
        </w:rPr>
        <w:t xml:space="preserve"> </w:t>
      </w:r>
      <w:r w:rsidRPr="00AC7A32">
        <w:rPr>
          <w:rFonts w:ascii="mylotus" w:hAnsi="mylotus"/>
          <w:sz w:val="34"/>
          <w:szCs w:val="34"/>
          <w:rtl/>
        </w:rPr>
        <w:t xml:space="preserve">والسيد الحكيم السبط صاحب مصباح المنهاج </w:t>
      </w:r>
      <w:r>
        <w:rPr>
          <w:rFonts w:ascii="mylotus" w:hAnsi="mylotus" w:hint="cs"/>
          <w:sz w:val="34"/>
          <w:szCs w:val="34"/>
          <w:rtl/>
        </w:rPr>
        <w:t>[</w:t>
      </w:r>
      <w:r w:rsidRPr="00AC7A32">
        <w:rPr>
          <w:rFonts w:ascii="mylotus" w:hAnsi="mylotus"/>
          <w:sz w:val="34"/>
          <w:szCs w:val="34"/>
          <w:rtl/>
        </w:rPr>
        <w:t>كتاب التجارة ج2 ص66</w:t>
      </w:r>
      <w:r>
        <w:rPr>
          <w:rFonts w:ascii="mylotus" w:hAnsi="mylotus" w:hint="cs"/>
          <w:sz w:val="34"/>
          <w:szCs w:val="34"/>
          <w:rtl/>
        </w:rPr>
        <w:t>]</w:t>
      </w:r>
      <w:r w:rsidR="000B0950">
        <w:rPr>
          <w:rFonts w:ascii="mylotus" w:hAnsi="mylotus"/>
          <w:sz w:val="34"/>
          <w:szCs w:val="34"/>
          <w:rtl/>
        </w:rPr>
        <w:t xml:space="preserve"> </w:t>
      </w:r>
      <w:r w:rsidRPr="00AC7A32">
        <w:rPr>
          <w:rFonts w:ascii="mylotus" w:hAnsi="mylotus"/>
          <w:sz w:val="34"/>
          <w:szCs w:val="34"/>
          <w:rtl/>
        </w:rPr>
        <w:t>قدست أسرارهم</w:t>
      </w:r>
      <w:r>
        <w:rPr>
          <w:rFonts w:ascii="mylotus" w:hAnsi="mylotus" w:hint="cs"/>
          <w:sz w:val="34"/>
          <w:szCs w:val="34"/>
          <w:rtl/>
        </w:rPr>
        <w:t>،</w:t>
      </w:r>
      <w:r w:rsidR="000B0950">
        <w:rPr>
          <w:rFonts w:ascii="mylotus" w:hAnsi="mylotus"/>
          <w:sz w:val="34"/>
          <w:szCs w:val="34"/>
          <w:rtl/>
        </w:rPr>
        <w:t xml:space="preserve"> </w:t>
      </w:r>
      <w:r w:rsidRPr="00AC7A32">
        <w:rPr>
          <w:rFonts w:ascii="mylotus" w:hAnsi="mylotus"/>
          <w:sz w:val="34"/>
          <w:szCs w:val="34"/>
          <w:rtl/>
        </w:rPr>
        <w:t>وغيرهم ممن ذهب إلى عدم اعتبار الموالاة بين الإيجاب والقبول، سواءً كان الفاصل قصيراً أم طويلاً</w:t>
      </w:r>
      <w:r w:rsidRPr="00AC7A32">
        <w:rPr>
          <w:rFonts w:ascii="mylotus" w:hAnsi="mylotus"/>
          <w:sz w:val="34"/>
          <w:szCs w:val="34"/>
        </w:rPr>
        <w:t>.</w:t>
      </w:r>
    </w:p>
    <w:p w14:paraId="20E96DBD" w14:textId="77777777"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t>وفي مقابل ما مضى من الوجوه والأدلة التي أقيمت لإثبات اعتبار الموالاة بين الإيجاب والقبول قد تذكر وجوه لإثبات عدم اعتبار الموالاة بين الإيجاب والقبول</w:t>
      </w:r>
      <w:r w:rsidRPr="00AC7A32">
        <w:rPr>
          <w:rFonts w:ascii="mylotus" w:hAnsi="mylotus"/>
          <w:sz w:val="34"/>
          <w:szCs w:val="34"/>
        </w:rPr>
        <w:t>:</w:t>
      </w:r>
    </w:p>
    <w:p w14:paraId="3623B82A" w14:textId="77777777"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b/>
          <w:bCs/>
          <w:sz w:val="34"/>
          <w:szCs w:val="34"/>
          <w:rtl/>
        </w:rPr>
        <w:t xml:space="preserve">الوجه الأول: </w:t>
      </w:r>
      <w:r w:rsidRPr="00AC7A32">
        <w:rPr>
          <w:rFonts w:ascii="mylotus" w:hAnsi="mylotus"/>
          <w:sz w:val="34"/>
          <w:szCs w:val="34"/>
          <w:rtl/>
        </w:rPr>
        <w:t>التمسك بالإطلاقات نحو: (أوفوا بالعقود) و(أحل الله البيع) بدعوى أن مقتضاها عدم اعتبار الموالاة بين الإيجاب والقبول</w:t>
      </w:r>
      <w:r w:rsidRPr="00AC7A32">
        <w:rPr>
          <w:rFonts w:ascii="mylotus" w:hAnsi="mylotus"/>
          <w:sz w:val="34"/>
          <w:szCs w:val="34"/>
        </w:rPr>
        <w:t>.</w:t>
      </w:r>
    </w:p>
    <w:p w14:paraId="135CE832" w14:textId="587A89EA"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t>ولكن التمسك بالإطلاقات محل نظر</w:t>
      </w:r>
      <w:r w:rsidR="000B0950">
        <w:rPr>
          <w:rFonts w:ascii="mylotus" w:hAnsi="mylotus"/>
          <w:sz w:val="34"/>
          <w:szCs w:val="34"/>
          <w:rtl/>
        </w:rPr>
        <w:t>،</w:t>
      </w:r>
      <w:r w:rsidRPr="00AC7A32">
        <w:rPr>
          <w:rFonts w:ascii="mylotus" w:hAnsi="mylotus"/>
          <w:sz w:val="34"/>
          <w:szCs w:val="34"/>
          <w:rtl/>
        </w:rPr>
        <w:t xml:space="preserve"> فإنه إن كان محل النزاع في دخل الموالاة في صدق عنوان العقد والبيع عرفا فالتمسك بالإطلاقات لنفيه تمسك بالدليل في الشبهة المصداقية، إذ المفروض أن من يرى دخل الموالاة يدعي عدم صدق عنوان العقد والبيع مع الفصل الطويل بين طرفي العقد</w:t>
      </w:r>
      <w:r w:rsidR="000B0950">
        <w:rPr>
          <w:rFonts w:ascii="mylotus" w:hAnsi="mylotus"/>
          <w:sz w:val="34"/>
          <w:szCs w:val="34"/>
          <w:rtl/>
        </w:rPr>
        <w:t>.</w:t>
      </w:r>
    </w:p>
    <w:p w14:paraId="6E447DD5" w14:textId="7FED3AAD"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t>وإن كان محل النزاع هو كون الموالاة دخيلة في الصحة ونفوذ المعاملة لا في الصدق، فلا يصح التمسك بالإطلاقات لنفيه</w:t>
      </w:r>
      <w:r w:rsidR="000B0950">
        <w:rPr>
          <w:rFonts w:ascii="mylotus" w:hAnsi="mylotus"/>
          <w:sz w:val="34"/>
          <w:szCs w:val="34"/>
          <w:rtl/>
        </w:rPr>
        <w:t>،</w:t>
      </w:r>
      <w:r w:rsidRPr="00AC7A32">
        <w:rPr>
          <w:rFonts w:ascii="mylotus" w:hAnsi="mylotus"/>
          <w:sz w:val="34"/>
          <w:szCs w:val="34"/>
          <w:rtl/>
        </w:rPr>
        <w:t xml:space="preserve"> لأنها ليست في مقام البيان من هذه الجهة، وإنما هي في مقام بيان إنفاذ أصل البيع ووجوب الوفاء بالعقود، وليست في مقام البيان من جهة سائر ما يعتبر من شرائط النفوذ</w:t>
      </w:r>
      <w:r>
        <w:rPr>
          <w:rFonts w:ascii="mylotus" w:hAnsi="mylotus" w:hint="cs"/>
          <w:sz w:val="34"/>
          <w:szCs w:val="34"/>
          <w:rtl/>
        </w:rPr>
        <w:t xml:space="preserve"> </w:t>
      </w:r>
      <w:r w:rsidRPr="00AC7A32">
        <w:rPr>
          <w:rFonts w:ascii="mylotus" w:hAnsi="mylotus"/>
          <w:sz w:val="34"/>
          <w:szCs w:val="34"/>
          <w:rtl/>
        </w:rPr>
        <w:t>كي يتمسك بها لإثبات عدم اعتبار الموالاة</w:t>
      </w:r>
      <w:r w:rsidRPr="00AC7A32">
        <w:rPr>
          <w:rFonts w:ascii="mylotus" w:hAnsi="mylotus"/>
          <w:sz w:val="34"/>
          <w:szCs w:val="34"/>
        </w:rPr>
        <w:t>.</w:t>
      </w:r>
    </w:p>
    <w:p w14:paraId="7738A040" w14:textId="77777777" w:rsidR="00AC7A32" w:rsidRDefault="00AC7A32" w:rsidP="000B0950">
      <w:pPr>
        <w:pStyle w:val="a0"/>
        <w:widowControl w:val="0"/>
        <w:bidi/>
        <w:spacing w:line="216" w:lineRule="auto"/>
        <w:rPr>
          <w:rFonts w:ascii="mylotus" w:hAnsi="mylotus" w:hint="cs"/>
          <w:sz w:val="34"/>
          <w:szCs w:val="34"/>
          <w:rtl/>
        </w:rPr>
      </w:pPr>
      <w:r w:rsidRPr="00AC7A32">
        <w:rPr>
          <w:rFonts w:ascii="mylotus" w:hAnsi="mylotus"/>
          <w:b/>
          <w:bCs/>
          <w:sz w:val="34"/>
          <w:szCs w:val="34"/>
          <w:rtl/>
        </w:rPr>
        <w:t>الوجه الثاني:</w:t>
      </w:r>
      <w:r w:rsidRPr="00AC7A32">
        <w:rPr>
          <w:rFonts w:ascii="mylotus" w:hAnsi="mylotus"/>
          <w:sz w:val="34"/>
          <w:szCs w:val="34"/>
          <w:rtl/>
        </w:rPr>
        <w:t xml:space="preserve"> ما ذكره جمع - منهم سيدنا الخوئي قدس سره [مصباح الفقاهة ج3 ص56]، وشيخنا الأستاذ الشيخ التبريزي قد</w:t>
      </w:r>
      <w:r>
        <w:rPr>
          <w:rFonts w:ascii="mylotus" w:hAnsi="mylotus"/>
          <w:sz w:val="34"/>
          <w:szCs w:val="34"/>
          <w:rtl/>
        </w:rPr>
        <w:t>س سره [إرشاد الطالب ج2 ص117]، و</w:t>
      </w:r>
      <w:r w:rsidRPr="00AC7A32">
        <w:rPr>
          <w:rFonts w:ascii="mylotus" w:hAnsi="mylotus"/>
          <w:sz w:val="34"/>
          <w:szCs w:val="34"/>
          <w:rtl/>
        </w:rPr>
        <w:t xml:space="preserve">سيد مصباح المنهاج قدس سره [كتاب التجارة ج2 ص66] - من قيام السيرة العقلائية القطعية على عدم اعتبار الموالاة </w:t>
      </w:r>
      <w:r>
        <w:rPr>
          <w:rFonts w:ascii="mylotus" w:hAnsi="mylotus"/>
          <w:sz w:val="34"/>
          <w:szCs w:val="34"/>
          <w:rtl/>
        </w:rPr>
        <w:t>بين الإيجاب والقبول في العقود</w:t>
      </w:r>
      <w:r>
        <w:rPr>
          <w:rFonts w:ascii="mylotus" w:hAnsi="mylotus" w:hint="cs"/>
          <w:sz w:val="34"/>
          <w:szCs w:val="34"/>
          <w:rtl/>
        </w:rPr>
        <w:t>.</w:t>
      </w:r>
    </w:p>
    <w:p w14:paraId="549C5302" w14:textId="4001FA1D"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t xml:space="preserve">ومثال ذلك ما قامت عليه السيرة العقلائية في الهبة، حيث تعارفت الهبة المعاطاتية من شخص </w:t>
      </w:r>
      <w:r w:rsidRPr="00AC7A32">
        <w:rPr>
          <w:rFonts w:ascii="mylotus" w:hAnsi="mylotus"/>
          <w:sz w:val="34"/>
          <w:szCs w:val="34"/>
          <w:rtl/>
        </w:rPr>
        <w:lastRenderedPageBreak/>
        <w:t>بعيد لحاضر، كأن يرسل شخص من إيران هدية لشخص في العراق، أو يرسل شخص في الهند هدية لشخص في العراق لا تصل إليه إلا بعد أشهر،</w:t>
      </w:r>
      <w:r>
        <w:rPr>
          <w:rFonts w:ascii="mylotus" w:hAnsi="mylotus" w:hint="cs"/>
          <w:sz w:val="34"/>
          <w:szCs w:val="34"/>
          <w:rtl/>
        </w:rPr>
        <w:t xml:space="preserve"> </w:t>
      </w:r>
      <w:r w:rsidRPr="00AC7A32">
        <w:rPr>
          <w:rFonts w:ascii="mylotus" w:hAnsi="mylotus"/>
          <w:sz w:val="34"/>
          <w:szCs w:val="34"/>
          <w:rtl/>
        </w:rPr>
        <w:t>من دون أن يكون الرسول الذي يوصل الهدية من شخص لأخر</w:t>
      </w:r>
      <w:r w:rsidR="000B0950">
        <w:rPr>
          <w:rFonts w:ascii="mylotus" w:hAnsi="mylotus"/>
          <w:sz w:val="34"/>
          <w:szCs w:val="34"/>
          <w:rtl/>
        </w:rPr>
        <w:t xml:space="preserve"> </w:t>
      </w:r>
      <w:r w:rsidRPr="00AC7A32">
        <w:rPr>
          <w:rFonts w:ascii="mylotus" w:hAnsi="mylotus"/>
          <w:sz w:val="34"/>
          <w:szCs w:val="34"/>
          <w:rtl/>
        </w:rPr>
        <w:t>وكيلا عن الواهب في تجديد الإيجاب عند وصول الهدية</w:t>
      </w:r>
      <w:r w:rsidR="000B0950">
        <w:rPr>
          <w:rFonts w:ascii="mylotus" w:hAnsi="mylotus"/>
          <w:sz w:val="34"/>
          <w:szCs w:val="34"/>
          <w:rtl/>
        </w:rPr>
        <w:t>،</w:t>
      </w:r>
      <w:r w:rsidRPr="00AC7A32">
        <w:rPr>
          <w:rFonts w:ascii="mylotus" w:hAnsi="mylotus"/>
          <w:sz w:val="34"/>
          <w:szCs w:val="34"/>
          <w:rtl/>
        </w:rPr>
        <w:t xml:space="preserve"> ولا وكيلاً عن الموهوب له في قبض الهبة عنه بمجرد استلام الهدية من الواهب، بل هو مجرد أمين في إيصال الهدية من المهدي إلى المهدى إليه، مما يعني أن الإيجاب قد تم من قبل المهدي قبل القبول</w:t>
      </w:r>
      <w:r w:rsidR="000B0950">
        <w:rPr>
          <w:rFonts w:ascii="mylotus" w:hAnsi="mylotus"/>
          <w:sz w:val="34"/>
          <w:szCs w:val="34"/>
          <w:rtl/>
        </w:rPr>
        <w:t xml:space="preserve"> </w:t>
      </w:r>
      <w:r w:rsidRPr="00AC7A32">
        <w:rPr>
          <w:rFonts w:ascii="mylotus" w:hAnsi="mylotus"/>
          <w:sz w:val="34"/>
          <w:szCs w:val="34"/>
          <w:rtl/>
        </w:rPr>
        <w:t>بعدة شهور، ولم يتردد أحد في صدق عنوان الهبة ولا</w:t>
      </w:r>
      <w:r>
        <w:rPr>
          <w:rFonts w:ascii="mylotus" w:hAnsi="mylotus" w:hint="cs"/>
          <w:sz w:val="34"/>
          <w:szCs w:val="34"/>
          <w:rtl/>
        </w:rPr>
        <w:t xml:space="preserve"> </w:t>
      </w:r>
      <w:r w:rsidRPr="00AC7A32">
        <w:rPr>
          <w:rFonts w:ascii="mylotus" w:hAnsi="mylotus"/>
          <w:sz w:val="34"/>
          <w:szCs w:val="34"/>
          <w:rtl/>
        </w:rPr>
        <w:t>في نفوذها</w:t>
      </w:r>
      <w:r w:rsidR="000B0950">
        <w:rPr>
          <w:rFonts w:ascii="mylotus" w:hAnsi="mylotus"/>
          <w:sz w:val="34"/>
          <w:szCs w:val="34"/>
          <w:rtl/>
        </w:rPr>
        <w:t>.</w:t>
      </w:r>
    </w:p>
    <w:p w14:paraId="0C294C85" w14:textId="3C165AD7"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t>ونظير السيرة في الهبة قيام السيرة - بتعبير السيد الخوئي قد</w:t>
      </w:r>
      <w:r>
        <w:rPr>
          <w:rFonts w:ascii="mylotus" w:hAnsi="mylotus" w:hint="cs"/>
          <w:sz w:val="34"/>
          <w:szCs w:val="34"/>
          <w:rtl/>
        </w:rPr>
        <w:t>س سر</w:t>
      </w:r>
      <w:r w:rsidRPr="00AC7A32">
        <w:rPr>
          <w:rFonts w:ascii="mylotus" w:hAnsi="mylotus"/>
          <w:sz w:val="34"/>
          <w:szCs w:val="34"/>
          <w:rtl/>
        </w:rPr>
        <w:t>ه - بين التجار المتدينين على معاملة بعضهم بعضاً بالكتابة والبرقية مع تخلل الفصل الطويل بين الإيجاب والقبول فيها</w:t>
      </w:r>
      <w:r w:rsidR="000B0950">
        <w:rPr>
          <w:rFonts w:ascii="mylotus" w:hAnsi="mylotus"/>
          <w:sz w:val="34"/>
          <w:szCs w:val="34"/>
          <w:rtl/>
        </w:rPr>
        <w:t>.</w:t>
      </w:r>
    </w:p>
    <w:p w14:paraId="27694729" w14:textId="7DE0C3D6"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t>وبتعبير بعض الأكابر قد</w:t>
      </w:r>
      <w:r>
        <w:rPr>
          <w:rFonts w:ascii="mylotus" w:hAnsi="mylotus" w:hint="cs"/>
          <w:sz w:val="34"/>
          <w:szCs w:val="34"/>
          <w:rtl/>
        </w:rPr>
        <w:t>س سر</w:t>
      </w:r>
      <w:r w:rsidRPr="00AC7A32">
        <w:rPr>
          <w:rFonts w:ascii="mylotus" w:hAnsi="mylotus"/>
          <w:sz w:val="34"/>
          <w:szCs w:val="34"/>
          <w:rtl/>
        </w:rPr>
        <w:t xml:space="preserve">ه </w:t>
      </w:r>
      <w:r>
        <w:rPr>
          <w:rFonts w:ascii="mylotus" w:hAnsi="mylotus" w:hint="cs"/>
          <w:sz w:val="34"/>
          <w:szCs w:val="34"/>
          <w:rtl/>
        </w:rPr>
        <w:t>[</w:t>
      </w:r>
      <w:r>
        <w:rPr>
          <w:rFonts w:ascii="mylotus" w:hAnsi="mylotus"/>
          <w:sz w:val="34"/>
          <w:szCs w:val="34"/>
          <w:rtl/>
        </w:rPr>
        <w:t>في كتاب البيع</w:t>
      </w:r>
      <w:r w:rsidRPr="00AC7A32">
        <w:rPr>
          <w:rFonts w:ascii="mylotus" w:hAnsi="mylotus"/>
          <w:sz w:val="34"/>
          <w:szCs w:val="34"/>
          <w:rtl/>
        </w:rPr>
        <w:t xml:space="preserve"> ج1 ص345</w:t>
      </w:r>
      <w:r>
        <w:rPr>
          <w:rFonts w:ascii="mylotus" w:hAnsi="mylotus" w:hint="cs"/>
          <w:sz w:val="34"/>
          <w:szCs w:val="34"/>
          <w:rtl/>
        </w:rPr>
        <w:t>]</w:t>
      </w:r>
      <w:r w:rsidRPr="00AC7A32">
        <w:rPr>
          <w:rFonts w:ascii="mylotus" w:hAnsi="mylotus"/>
          <w:sz w:val="34"/>
          <w:szCs w:val="34"/>
          <w:rtl/>
        </w:rPr>
        <w:t xml:space="preserve"> </w:t>
      </w:r>
      <w:r>
        <w:rPr>
          <w:rFonts w:ascii="mylotus" w:hAnsi="mylotus" w:hint="cs"/>
          <w:sz w:val="34"/>
          <w:szCs w:val="34"/>
          <w:rtl/>
        </w:rPr>
        <w:t>(</w:t>
      </w:r>
      <w:r w:rsidRPr="00AC7A32">
        <w:rPr>
          <w:rFonts w:ascii="mylotus" w:hAnsi="mylotus"/>
          <w:sz w:val="34"/>
          <w:szCs w:val="34"/>
          <w:rtl/>
        </w:rPr>
        <w:t xml:space="preserve">بالعهود </w:t>
      </w:r>
      <w:proofErr w:type="spellStart"/>
      <w:r w:rsidRPr="00AC7A32">
        <w:rPr>
          <w:rFonts w:ascii="mylotus" w:hAnsi="mylotus"/>
          <w:sz w:val="34"/>
          <w:szCs w:val="34"/>
          <w:rtl/>
        </w:rPr>
        <w:t>الكتبية</w:t>
      </w:r>
      <w:proofErr w:type="spellEnd"/>
      <w:r w:rsidRPr="00AC7A32">
        <w:rPr>
          <w:rFonts w:ascii="mylotus" w:hAnsi="mylotus"/>
          <w:sz w:val="34"/>
          <w:szCs w:val="34"/>
          <w:rtl/>
        </w:rPr>
        <w:t xml:space="preserve"> بين الدول والشركاء في التجارات</w:t>
      </w:r>
      <w:r>
        <w:rPr>
          <w:rFonts w:ascii="mylotus" w:hAnsi="mylotus" w:hint="cs"/>
          <w:sz w:val="34"/>
          <w:szCs w:val="34"/>
          <w:rtl/>
        </w:rPr>
        <w:t>)</w:t>
      </w:r>
      <w:r>
        <w:rPr>
          <w:rFonts w:ascii="mylotus" w:hAnsi="mylotus"/>
          <w:sz w:val="34"/>
          <w:szCs w:val="34"/>
          <w:rtl/>
        </w:rPr>
        <w:t>، وتعبير شيخنا الأستاذ قدس سره</w:t>
      </w:r>
      <w:r>
        <w:rPr>
          <w:rFonts w:ascii="mylotus" w:hAnsi="mylotus" w:hint="cs"/>
          <w:sz w:val="34"/>
          <w:szCs w:val="34"/>
          <w:rtl/>
        </w:rPr>
        <w:t>: (</w:t>
      </w:r>
      <w:r w:rsidRPr="00AC7A32">
        <w:rPr>
          <w:rFonts w:ascii="mylotus" w:hAnsi="mylotus"/>
          <w:sz w:val="34"/>
          <w:szCs w:val="34"/>
          <w:rtl/>
        </w:rPr>
        <w:t>أو السيرة الجارية على المعاملات بين الأقوام والملل بالكتابة والمخابرة أو</w:t>
      </w:r>
      <w:r>
        <w:rPr>
          <w:rFonts w:ascii="mylotus" w:hAnsi="mylotus" w:hint="cs"/>
          <w:sz w:val="34"/>
          <w:szCs w:val="34"/>
          <w:rtl/>
        </w:rPr>
        <w:t xml:space="preserve"> </w:t>
      </w:r>
      <w:r>
        <w:rPr>
          <w:rFonts w:ascii="mylotus" w:hAnsi="mylotus"/>
          <w:sz w:val="34"/>
          <w:szCs w:val="34"/>
          <w:rtl/>
        </w:rPr>
        <w:t>حتى بإيصال المال</w:t>
      </w:r>
      <w:r>
        <w:rPr>
          <w:rFonts w:ascii="mylotus" w:hAnsi="mylotus" w:hint="cs"/>
          <w:sz w:val="34"/>
          <w:szCs w:val="34"/>
          <w:rtl/>
        </w:rPr>
        <w:t>)</w:t>
      </w:r>
      <w:r w:rsidR="000B0950">
        <w:rPr>
          <w:rFonts w:ascii="mylotus" w:hAnsi="mylotus"/>
          <w:sz w:val="34"/>
          <w:szCs w:val="34"/>
          <w:rtl/>
        </w:rPr>
        <w:t>،</w:t>
      </w:r>
      <w:r w:rsidRPr="00AC7A32">
        <w:rPr>
          <w:rFonts w:ascii="mylotus" w:hAnsi="mylotus"/>
          <w:sz w:val="34"/>
          <w:szCs w:val="34"/>
          <w:rtl/>
        </w:rPr>
        <w:t xml:space="preserve"> مع أن وسائل التواصل بين الدول في العصور القديمة كان يستغرق وقتاً طويلاً، فدولة تبيع ودولة تشتري،</w:t>
      </w:r>
      <w:r w:rsidR="000B0950">
        <w:rPr>
          <w:rFonts w:ascii="mylotus" w:hAnsi="mylotus" w:hint="cs"/>
          <w:sz w:val="34"/>
          <w:szCs w:val="34"/>
          <w:rtl/>
        </w:rPr>
        <w:t xml:space="preserve"> </w:t>
      </w:r>
      <w:r w:rsidRPr="00AC7A32">
        <w:rPr>
          <w:rFonts w:ascii="mylotus" w:hAnsi="mylotus"/>
          <w:sz w:val="34"/>
          <w:szCs w:val="34"/>
          <w:rtl/>
        </w:rPr>
        <w:t>وكل ذلك عبر الوسائط</w:t>
      </w:r>
      <w:r w:rsidR="000B0950">
        <w:rPr>
          <w:rFonts w:ascii="mylotus" w:hAnsi="mylotus"/>
          <w:sz w:val="34"/>
          <w:szCs w:val="34"/>
          <w:rtl/>
        </w:rPr>
        <w:t xml:space="preserve"> </w:t>
      </w:r>
      <w:r w:rsidRPr="00AC7A32">
        <w:rPr>
          <w:rFonts w:ascii="mylotus" w:hAnsi="mylotus"/>
          <w:sz w:val="34"/>
          <w:szCs w:val="34"/>
          <w:rtl/>
        </w:rPr>
        <w:t>التي تستغرق فصلا</w:t>
      </w:r>
      <w:r w:rsidR="000B0950">
        <w:rPr>
          <w:rFonts w:ascii="mylotus" w:hAnsi="mylotus" w:hint="cs"/>
          <w:sz w:val="34"/>
          <w:szCs w:val="34"/>
          <w:rtl/>
        </w:rPr>
        <w:t>ً</w:t>
      </w:r>
      <w:r w:rsidRPr="00AC7A32">
        <w:rPr>
          <w:rFonts w:ascii="mylotus" w:hAnsi="mylotus"/>
          <w:sz w:val="34"/>
          <w:szCs w:val="34"/>
          <w:rtl/>
        </w:rPr>
        <w:t xml:space="preserve"> طويلاً بين الإيجاب والقبول</w:t>
      </w:r>
      <w:r w:rsidRPr="00AC7A32">
        <w:rPr>
          <w:rFonts w:ascii="mylotus" w:hAnsi="mylotus"/>
          <w:sz w:val="34"/>
          <w:szCs w:val="34"/>
        </w:rPr>
        <w:t>.</w:t>
      </w:r>
    </w:p>
    <w:p w14:paraId="0CDBB641" w14:textId="77777777" w:rsidR="00AC7A32" w:rsidRPr="000B0950" w:rsidRDefault="00AC7A32" w:rsidP="000B0950">
      <w:pPr>
        <w:pStyle w:val="a0"/>
        <w:widowControl w:val="0"/>
        <w:bidi/>
        <w:spacing w:line="216" w:lineRule="auto"/>
        <w:rPr>
          <w:rFonts w:ascii="mylotus" w:hAnsi="mylotus"/>
          <w:b/>
          <w:bCs/>
          <w:sz w:val="34"/>
          <w:szCs w:val="34"/>
          <w:rtl/>
        </w:rPr>
      </w:pPr>
      <w:r w:rsidRPr="000B0950">
        <w:rPr>
          <w:rFonts w:ascii="mylotus" w:hAnsi="mylotus"/>
          <w:b/>
          <w:bCs/>
          <w:sz w:val="34"/>
          <w:szCs w:val="34"/>
          <w:rtl/>
        </w:rPr>
        <w:t>ولكن هنا إشكالان على الاستدلال بالسيرة</w:t>
      </w:r>
      <w:r w:rsidRPr="000B0950">
        <w:rPr>
          <w:rFonts w:ascii="mylotus" w:hAnsi="mylotus"/>
          <w:b/>
          <w:bCs/>
          <w:sz w:val="34"/>
          <w:szCs w:val="34"/>
        </w:rPr>
        <w:t>:</w:t>
      </w:r>
    </w:p>
    <w:p w14:paraId="63EBA497" w14:textId="12F61E88" w:rsidR="00AC7A32" w:rsidRPr="00AC7A32" w:rsidRDefault="00AC7A32" w:rsidP="000B0950">
      <w:pPr>
        <w:pStyle w:val="a0"/>
        <w:widowControl w:val="0"/>
        <w:bidi/>
        <w:spacing w:line="216" w:lineRule="auto"/>
        <w:rPr>
          <w:rFonts w:ascii="mylotus" w:hAnsi="mylotus"/>
          <w:sz w:val="34"/>
          <w:szCs w:val="34"/>
          <w:rtl/>
        </w:rPr>
      </w:pPr>
      <w:r w:rsidRPr="000B0950">
        <w:rPr>
          <w:rFonts w:ascii="mylotus" w:hAnsi="mylotus"/>
          <w:b/>
          <w:bCs/>
          <w:sz w:val="34"/>
          <w:szCs w:val="34"/>
          <w:rtl/>
        </w:rPr>
        <w:t>الإشكال الأول:</w:t>
      </w:r>
      <w:r w:rsidRPr="00AC7A32">
        <w:rPr>
          <w:rFonts w:ascii="mylotus" w:hAnsi="mylotus"/>
          <w:sz w:val="34"/>
          <w:szCs w:val="34"/>
          <w:rtl/>
        </w:rPr>
        <w:t xml:space="preserve"> ما ذكره المحقق النائيني قدس سره [في منية الطالب ج1 ص253] حيث قال: (وإرسال الهدايا من البلاد البعيدة لا يدل على جواز الانفصال) يعني الفصل بين الإيجاب والقبول (فإن تحقق الأفعال مختلف، فمنها ما لا يحتاج إلى زمن ممتد كما لو وقعت المعاملة في حضور المتعاطيين) كما لو كان كلاهما في السوق فلا يحتاج الإيجاب إلى زمن ممتد (ومنها ما يحتاج)</w:t>
      </w:r>
      <w:r w:rsidR="000B0950">
        <w:rPr>
          <w:rFonts w:ascii="mylotus" w:hAnsi="mylotus"/>
          <w:sz w:val="34"/>
          <w:szCs w:val="34"/>
          <w:rtl/>
        </w:rPr>
        <w:t xml:space="preserve"> </w:t>
      </w:r>
      <w:r w:rsidRPr="00AC7A32">
        <w:rPr>
          <w:rFonts w:ascii="mylotus" w:hAnsi="mylotus"/>
          <w:sz w:val="34"/>
          <w:szCs w:val="34"/>
          <w:rtl/>
        </w:rPr>
        <w:t>إلى زمن ممتد (كالهدايا المرسلة من الأماكن البعيدة، فإن الفعل) وهو الإيجاب ما زال ممتداً إلى أن تصل الهدية للمهدى إليه، وبالتالي لم يحصل فصل بين الإيجاب والقبول (لا يتحقق إلا بوصولها إلى يد المهدى إليه. وجميع هذه الأفعال الصادرة من الواسطة كأنها صادرة من الموجب) بمعنى أن الإيجاب باق الى حين وصول الهدية للمهدى إليه (فهو بمنزلة من كان في المشرق وكانت يده طويلة تصل إلى المغرب، فإن فعله يتم من زمان وصول يده إلى المغرب) (فكذلك من يرسل الهدية أو يوجب البيع بالرسالة فإن إنشاء الإيجاب منه يمتد إلى حين وصول الهدية أو الرسالة وحينئذ يتحقق القبول، فلا يقع فصل بين الإيجاب والقبول</w:t>
      </w:r>
      <w:r w:rsidR="000B0950">
        <w:rPr>
          <w:rFonts w:ascii="mylotus" w:hAnsi="mylotus" w:hint="cs"/>
          <w:sz w:val="34"/>
          <w:szCs w:val="34"/>
          <w:rtl/>
        </w:rPr>
        <w:t>).</w:t>
      </w:r>
    </w:p>
    <w:p w14:paraId="621631E9" w14:textId="574110C6" w:rsidR="00AC7A32" w:rsidRPr="00AC7A32" w:rsidRDefault="00AC7A32" w:rsidP="000B0950">
      <w:pPr>
        <w:pStyle w:val="a0"/>
        <w:widowControl w:val="0"/>
        <w:bidi/>
        <w:spacing w:line="216" w:lineRule="auto"/>
        <w:rPr>
          <w:rFonts w:ascii="mylotus" w:hAnsi="mylotus"/>
          <w:sz w:val="34"/>
          <w:szCs w:val="34"/>
          <w:rtl/>
        </w:rPr>
      </w:pPr>
      <w:r w:rsidRPr="00AC7A32">
        <w:rPr>
          <w:rFonts w:ascii="mylotus" w:hAnsi="mylotus"/>
          <w:sz w:val="34"/>
          <w:szCs w:val="34"/>
          <w:rtl/>
        </w:rPr>
        <w:lastRenderedPageBreak/>
        <w:t xml:space="preserve">وقد عبر عنه سيد مصباح المنهاج قدس سره: (وهو غريب جداً) </w:t>
      </w:r>
      <w:r w:rsidR="000B0950">
        <w:rPr>
          <w:rFonts w:ascii="mylotus" w:hAnsi="mylotus" w:hint="cs"/>
          <w:sz w:val="34"/>
          <w:szCs w:val="34"/>
          <w:rtl/>
        </w:rPr>
        <w:t xml:space="preserve">- </w:t>
      </w:r>
      <w:r w:rsidRPr="00AC7A32">
        <w:rPr>
          <w:rFonts w:ascii="mylotus" w:hAnsi="mylotus"/>
          <w:sz w:val="34"/>
          <w:szCs w:val="34"/>
          <w:rtl/>
        </w:rPr>
        <w:t>والنكتة في ذلك كما أفاد سيدنا الخوئي قدس سره [في مصباح الفقاهة]</w:t>
      </w:r>
      <w:r w:rsidR="000B0950">
        <w:rPr>
          <w:rFonts w:ascii="mylotus" w:hAnsi="mylotus" w:hint="cs"/>
          <w:sz w:val="34"/>
          <w:szCs w:val="34"/>
          <w:rtl/>
        </w:rPr>
        <w:t xml:space="preserve"> -</w:t>
      </w:r>
      <w:r w:rsidRPr="00AC7A32">
        <w:rPr>
          <w:rFonts w:ascii="mylotus" w:hAnsi="mylotus"/>
          <w:sz w:val="34"/>
          <w:szCs w:val="34"/>
          <w:rtl/>
        </w:rPr>
        <w:t xml:space="preserve"> (ضرورة أن الرسول قد يوصل العين للموهوب له حال غفلة الواهب أو نومه أو إغمائه، فكيف يدعى أن إنشاء الإيجاب من الواهب ما زال مستمراً إلى حين وصول الهدية، والحال بأنه قد يكون وصول الهدية مزامناً مع غفلة الواهب أو نومه أو إغمائه أو ما أشبه ذلك،</w:t>
      </w:r>
      <w:r w:rsidR="000B0950">
        <w:rPr>
          <w:rFonts w:ascii="mylotus" w:hAnsi="mylotus"/>
          <w:sz w:val="34"/>
          <w:szCs w:val="34"/>
          <w:rtl/>
        </w:rPr>
        <w:t xml:space="preserve"> </w:t>
      </w:r>
    </w:p>
    <w:p w14:paraId="0885978E" w14:textId="7CCA86F7" w:rsidR="00AC7A32" w:rsidRPr="00AC7A32" w:rsidRDefault="000B0950" w:rsidP="000B0950">
      <w:pPr>
        <w:pStyle w:val="a0"/>
        <w:widowControl w:val="0"/>
        <w:bidi/>
        <w:spacing w:line="216" w:lineRule="auto"/>
        <w:rPr>
          <w:rFonts w:ascii="mylotus" w:hAnsi="mylotus"/>
          <w:sz w:val="34"/>
          <w:szCs w:val="34"/>
          <w:rtl/>
        </w:rPr>
      </w:pPr>
      <w:r w:rsidRPr="000B0950">
        <w:rPr>
          <w:rFonts w:ascii="mylotus" w:hAnsi="mylotus"/>
          <w:b/>
          <w:bCs/>
          <w:sz w:val="34"/>
          <w:szCs w:val="34"/>
          <w:rtl/>
        </w:rPr>
        <w:t>أقول:</w:t>
      </w:r>
      <w:r>
        <w:rPr>
          <w:rFonts w:ascii="mylotus" w:hAnsi="mylotus" w:hint="cs"/>
          <w:sz w:val="34"/>
          <w:szCs w:val="34"/>
          <w:rtl/>
        </w:rPr>
        <w:t xml:space="preserve"> </w:t>
      </w:r>
      <w:r w:rsidR="00AC7A32" w:rsidRPr="00AC7A32">
        <w:rPr>
          <w:rFonts w:ascii="mylotus" w:hAnsi="mylotus"/>
          <w:sz w:val="34"/>
          <w:szCs w:val="34"/>
          <w:rtl/>
        </w:rPr>
        <w:t>إن كان المقصود بامتداد الفعل الى حين حصول القبول هو امتداد الإيجاب نفسه فمن الواضح فساده</w:t>
      </w:r>
      <w:r>
        <w:rPr>
          <w:rFonts w:ascii="mylotus" w:hAnsi="mylotus"/>
          <w:sz w:val="34"/>
          <w:szCs w:val="34"/>
          <w:rtl/>
        </w:rPr>
        <w:t>،</w:t>
      </w:r>
      <w:r w:rsidR="00AC7A32" w:rsidRPr="00AC7A32">
        <w:rPr>
          <w:rFonts w:ascii="mylotus" w:hAnsi="mylotus"/>
          <w:sz w:val="34"/>
          <w:szCs w:val="34"/>
          <w:rtl/>
        </w:rPr>
        <w:t xml:space="preserve"> فإن الإيجاب أمر إنشائي لحاظي وهو من الأمور الآنية التي لا</w:t>
      </w:r>
      <w:r>
        <w:rPr>
          <w:rFonts w:ascii="mylotus" w:hAnsi="mylotus" w:hint="cs"/>
          <w:sz w:val="34"/>
          <w:szCs w:val="34"/>
          <w:rtl/>
        </w:rPr>
        <w:t xml:space="preserve"> </w:t>
      </w:r>
      <w:r w:rsidR="00AC7A32" w:rsidRPr="00AC7A32">
        <w:rPr>
          <w:rFonts w:ascii="mylotus" w:hAnsi="mylotus"/>
          <w:sz w:val="34"/>
          <w:szCs w:val="34"/>
          <w:rtl/>
        </w:rPr>
        <w:t>امتداد لها</w:t>
      </w:r>
      <w:r>
        <w:rPr>
          <w:rFonts w:ascii="mylotus" w:hAnsi="mylotus"/>
          <w:sz w:val="34"/>
          <w:szCs w:val="34"/>
          <w:rtl/>
        </w:rPr>
        <w:t>،</w:t>
      </w:r>
      <w:r w:rsidR="00AC7A32" w:rsidRPr="00AC7A32">
        <w:rPr>
          <w:rFonts w:ascii="mylotus" w:hAnsi="mylotus"/>
          <w:sz w:val="34"/>
          <w:szCs w:val="34"/>
          <w:rtl/>
        </w:rPr>
        <w:t xml:space="preserve"> بل لا</w:t>
      </w:r>
      <w:r>
        <w:rPr>
          <w:rFonts w:ascii="mylotus" w:hAnsi="mylotus" w:hint="cs"/>
          <w:sz w:val="34"/>
          <w:szCs w:val="34"/>
          <w:rtl/>
        </w:rPr>
        <w:t xml:space="preserve"> </w:t>
      </w:r>
      <w:r w:rsidR="00AC7A32" w:rsidRPr="00AC7A32">
        <w:rPr>
          <w:rFonts w:ascii="mylotus" w:hAnsi="mylotus"/>
          <w:sz w:val="34"/>
          <w:szCs w:val="34"/>
          <w:rtl/>
        </w:rPr>
        <w:t>يتصور له امتداد مع عروض النوم والغلة والإغماء المؤقت</w:t>
      </w:r>
      <w:r>
        <w:rPr>
          <w:rFonts w:ascii="mylotus" w:hAnsi="mylotus"/>
          <w:sz w:val="34"/>
          <w:szCs w:val="34"/>
          <w:rtl/>
        </w:rPr>
        <w:t>،</w:t>
      </w:r>
      <w:r w:rsidR="00AC7A32" w:rsidRPr="00AC7A32">
        <w:rPr>
          <w:rFonts w:ascii="mylotus" w:hAnsi="mylotus"/>
          <w:sz w:val="34"/>
          <w:szCs w:val="34"/>
          <w:rtl/>
        </w:rPr>
        <w:t xml:space="preserve"> وإن كان المقصود به بقاء المنشأ أي اعتبار الملكية في نفس البائع حيث لم يرفع يده عنه</w:t>
      </w:r>
      <w:r>
        <w:rPr>
          <w:rFonts w:ascii="mylotus" w:hAnsi="mylotus"/>
          <w:sz w:val="34"/>
          <w:szCs w:val="34"/>
          <w:rtl/>
        </w:rPr>
        <w:t>،</w:t>
      </w:r>
      <w:r w:rsidR="00AC7A32" w:rsidRPr="00AC7A32">
        <w:rPr>
          <w:rFonts w:ascii="mylotus" w:hAnsi="mylotus"/>
          <w:sz w:val="34"/>
          <w:szCs w:val="34"/>
          <w:rtl/>
        </w:rPr>
        <w:t xml:space="preserve"> بحيث لو سأل عن ذلك لأجاب بأني ما</w:t>
      </w:r>
      <w:r>
        <w:rPr>
          <w:rFonts w:ascii="mylotus" w:hAnsi="mylotus" w:hint="cs"/>
          <w:sz w:val="34"/>
          <w:szCs w:val="34"/>
          <w:rtl/>
        </w:rPr>
        <w:t xml:space="preserve"> </w:t>
      </w:r>
      <w:r w:rsidR="00AC7A32" w:rsidRPr="00AC7A32">
        <w:rPr>
          <w:rFonts w:ascii="mylotus" w:hAnsi="mylotus"/>
          <w:sz w:val="34"/>
          <w:szCs w:val="34"/>
          <w:rtl/>
        </w:rPr>
        <w:t>زلت على قولي فهذا مما لم يختلف فيه أحد</w:t>
      </w:r>
      <w:r>
        <w:rPr>
          <w:rFonts w:ascii="mylotus" w:hAnsi="mylotus"/>
          <w:sz w:val="34"/>
          <w:szCs w:val="34"/>
          <w:rtl/>
        </w:rPr>
        <w:t>،</w:t>
      </w:r>
      <w:r w:rsidR="00AC7A32" w:rsidRPr="00AC7A32">
        <w:rPr>
          <w:rFonts w:ascii="mylotus" w:hAnsi="mylotus"/>
          <w:sz w:val="34"/>
          <w:szCs w:val="34"/>
          <w:rtl/>
        </w:rPr>
        <w:t xml:space="preserve"> لضرورة بقاء تسبيب البائع للمعاملة الى حين صدور القبول من المشتري</w:t>
      </w:r>
      <w:r>
        <w:rPr>
          <w:rFonts w:ascii="mylotus" w:hAnsi="mylotus"/>
          <w:sz w:val="34"/>
          <w:szCs w:val="34"/>
          <w:rtl/>
        </w:rPr>
        <w:t>،</w:t>
      </w:r>
      <w:r w:rsidR="00AC7A32" w:rsidRPr="00AC7A32">
        <w:rPr>
          <w:rFonts w:ascii="mylotus" w:hAnsi="mylotus"/>
          <w:sz w:val="34"/>
          <w:szCs w:val="34"/>
          <w:rtl/>
        </w:rPr>
        <w:t xml:space="preserve"> فإن ما</w:t>
      </w:r>
      <w:r>
        <w:rPr>
          <w:rFonts w:ascii="mylotus" w:hAnsi="mylotus" w:hint="cs"/>
          <w:sz w:val="34"/>
          <w:szCs w:val="34"/>
          <w:rtl/>
        </w:rPr>
        <w:t xml:space="preserve"> </w:t>
      </w:r>
      <w:r w:rsidR="00AC7A32" w:rsidRPr="00AC7A32">
        <w:rPr>
          <w:rFonts w:ascii="mylotus" w:hAnsi="mylotus"/>
          <w:sz w:val="34"/>
          <w:szCs w:val="34"/>
          <w:rtl/>
        </w:rPr>
        <w:t>هو محل النزا</w:t>
      </w:r>
      <w:r>
        <w:rPr>
          <w:rFonts w:ascii="mylotus" w:hAnsi="mylotus"/>
          <w:sz w:val="34"/>
          <w:szCs w:val="34"/>
          <w:rtl/>
        </w:rPr>
        <w:t>ع هو ال</w:t>
      </w:r>
      <w:r>
        <w:rPr>
          <w:rFonts w:ascii="mylotus" w:hAnsi="mylotus" w:hint="cs"/>
          <w:sz w:val="34"/>
          <w:szCs w:val="34"/>
          <w:rtl/>
        </w:rPr>
        <w:t>ا</w:t>
      </w:r>
      <w:r w:rsidR="00AC7A32" w:rsidRPr="00AC7A32">
        <w:rPr>
          <w:rFonts w:ascii="mylotus" w:hAnsi="mylotus"/>
          <w:sz w:val="34"/>
          <w:szCs w:val="34"/>
          <w:rtl/>
        </w:rPr>
        <w:t>تصال والموالاة بين إنشاء الإيجاب وإنشاء القبول</w:t>
      </w:r>
      <w:r>
        <w:rPr>
          <w:rFonts w:ascii="mylotus" w:hAnsi="mylotus"/>
          <w:sz w:val="34"/>
          <w:szCs w:val="34"/>
          <w:rtl/>
        </w:rPr>
        <w:t>،</w:t>
      </w:r>
      <w:r w:rsidR="00AC7A32" w:rsidRPr="00AC7A32">
        <w:rPr>
          <w:rFonts w:ascii="mylotus" w:hAnsi="mylotus"/>
          <w:sz w:val="34"/>
          <w:szCs w:val="34"/>
          <w:rtl/>
        </w:rPr>
        <w:t xml:space="preserve"> لا</w:t>
      </w:r>
      <w:r>
        <w:rPr>
          <w:rFonts w:ascii="mylotus" w:hAnsi="mylotus" w:hint="cs"/>
          <w:sz w:val="34"/>
          <w:szCs w:val="34"/>
          <w:rtl/>
        </w:rPr>
        <w:t xml:space="preserve"> </w:t>
      </w:r>
      <w:r w:rsidR="00AC7A32" w:rsidRPr="00AC7A32">
        <w:rPr>
          <w:rFonts w:ascii="mylotus" w:hAnsi="mylotus"/>
          <w:sz w:val="34"/>
          <w:szCs w:val="34"/>
          <w:rtl/>
        </w:rPr>
        <w:t>بقاء المنشأ الى حين تحقق الطرف الآخر</w:t>
      </w:r>
      <w:r>
        <w:rPr>
          <w:rFonts w:ascii="mylotus" w:hAnsi="mylotus"/>
          <w:sz w:val="34"/>
          <w:szCs w:val="34"/>
          <w:rtl/>
        </w:rPr>
        <w:t>.</w:t>
      </w:r>
    </w:p>
    <w:p w14:paraId="0813E93F" w14:textId="7400DF15" w:rsidR="00AC7A32" w:rsidRPr="00AC7A32" w:rsidRDefault="00AC7A32" w:rsidP="000B0950">
      <w:pPr>
        <w:pStyle w:val="a0"/>
        <w:widowControl w:val="0"/>
        <w:bidi/>
        <w:spacing w:line="216" w:lineRule="auto"/>
        <w:rPr>
          <w:rFonts w:ascii="mylotus" w:hAnsi="mylotus"/>
          <w:sz w:val="34"/>
          <w:szCs w:val="34"/>
          <w:rtl/>
        </w:rPr>
      </w:pPr>
      <w:r w:rsidRPr="000B0950">
        <w:rPr>
          <w:rFonts w:ascii="mylotus" w:hAnsi="mylotus"/>
          <w:b/>
          <w:bCs/>
          <w:sz w:val="34"/>
          <w:szCs w:val="34"/>
          <w:rtl/>
        </w:rPr>
        <w:t>الإشكال الثاني:</w:t>
      </w:r>
      <w:r w:rsidRPr="00AC7A32">
        <w:rPr>
          <w:rFonts w:ascii="mylotus" w:hAnsi="mylotus"/>
          <w:sz w:val="34"/>
          <w:szCs w:val="34"/>
          <w:rtl/>
        </w:rPr>
        <w:t xml:space="preserve"> ما</w:t>
      </w:r>
      <w:r w:rsidR="000B0950">
        <w:rPr>
          <w:rFonts w:ascii="mylotus" w:hAnsi="mylotus" w:hint="cs"/>
          <w:sz w:val="34"/>
          <w:szCs w:val="34"/>
          <w:rtl/>
        </w:rPr>
        <w:t xml:space="preserve"> </w:t>
      </w:r>
      <w:r w:rsidR="000B0950">
        <w:rPr>
          <w:rFonts w:ascii="mylotus" w:hAnsi="mylotus"/>
          <w:sz w:val="34"/>
          <w:szCs w:val="34"/>
          <w:rtl/>
        </w:rPr>
        <w:t>ذكره بعض الأعلام - دفاعا</w:t>
      </w:r>
      <w:r w:rsidR="000B0950">
        <w:rPr>
          <w:rFonts w:ascii="mylotus" w:hAnsi="mylotus" w:hint="cs"/>
          <w:sz w:val="34"/>
          <w:szCs w:val="34"/>
          <w:rtl/>
        </w:rPr>
        <w:t>ً</w:t>
      </w:r>
      <w:r w:rsidRPr="00AC7A32">
        <w:rPr>
          <w:rFonts w:ascii="mylotus" w:hAnsi="mylotus"/>
          <w:sz w:val="34"/>
          <w:szCs w:val="34"/>
          <w:rtl/>
        </w:rPr>
        <w:t xml:space="preserve"> عن مطلب المحقق النائيني قدس سره</w:t>
      </w:r>
      <w:r w:rsidR="000B0950">
        <w:rPr>
          <w:rFonts w:ascii="mylotus" w:hAnsi="mylotus" w:hint="cs"/>
          <w:sz w:val="34"/>
          <w:szCs w:val="34"/>
          <w:rtl/>
        </w:rPr>
        <w:t xml:space="preserve"> -</w:t>
      </w:r>
      <w:r w:rsidRPr="00AC7A32">
        <w:rPr>
          <w:rFonts w:ascii="mylotus" w:hAnsi="mylotus"/>
          <w:sz w:val="34"/>
          <w:szCs w:val="34"/>
          <w:rtl/>
        </w:rPr>
        <w:t xml:space="preserve"> بأن</w:t>
      </w:r>
      <w:r w:rsidR="000B0950">
        <w:rPr>
          <w:rFonts w:ascii="mylotus" w:hAnsi="mylotus"/>
          <w:sz w:val="34"/>
          <w:szCs w:val="34"/>
          <w:rtl/>
        </w:rPr>
        <w:t xml:space="preserve"> </w:t>
      </w:r>
      <w:r w:rsidRPr="00AC7A32">
        <w:rPr>
          <w:rFonts w:ascii="mylotus" w:hAnsi="mylotus"/>
          <w:sz w:val="34"/>
          <w:szCs w:val="34"/>
          <w:rtl/>
        </w:rPr>
        <w:t>من المحتمل كون مرجع الهدية في هذه الموارد إلى عدم المانع من تملك العين الموهوبة بقبضها من قبل الرسول، لا من باب عقد الهبة كي يكون شاهداً على الفصل الطويل بين الإيجاب والقبول، وإنما المهدي قد رفع يده عن تملك الموهوب له إن وصلته العين، لا أنه أنشأ عقداً كي يقال قد حصل فصل طويل بين الإيجاب والقبول</w:t>
      </w:r>
      <w:r w:rsidRPr="00AC7A32">
        <w:rPr>
          <w:rFonts w:ascii="mylotus" w:hAnsi="mylotus"/>
          <w:sz w:val="34"/>
          <w:szCs w:val="34"/>
        </w:rPr>
        <w:t>.</w:t>
      </w:r>
    </w:p>
    <w:p w14:paraId="7EE7D460" w14:textId="425442A2" w:rsidR="00AC7A32" w:rsidRPr="00AC7A32" w:rsidRDefault="00AC7A32" w:rsidP="001F050F">
      <w:pPr>
        <w:pStyle w:val="a0"/>
        <w:widowControl w:val="0"/>
        <w:bidi/>
        <w:spacing w:line="216" w:lineRule="auto"/>
        <w:rPr>
          <w:rFonts w:ascii="mylotus" w:hAnsi="mylotus"/>
          <w:sz w:val="34"/>
          <w:szCs w:val="34"/>
          <w:rtl/>
        </w:rPr>
      </w:pPr>
      <w:r w:rsidRPr="000B0950">
        <w:rPr>
          <w:rFonts w:ascii="mylotus" w:hAnsi="mylotus"/>
          <w:b/>
          <w:bCs/>
          <w:sz w:val="34"/>
          <w:szCs w:val="34"/>
          <w:rtl/>
        </w:rPr>
        <w:t>أقول:</w:t>
      </w:r>
      <w:r w:rsidRPr="00AC7A32">
        <w:rPr>
          <w:rFonts w:ascii="mylotus" w:hAnsi="mylotus"/>
          <w:sz w:val="34"/>
          <w:szCs w:val="34"/>
          <w:rtl/>
        </w:rPr>
        <w:t xml:space="preserve"> لو ورد هذا الإشكال في الهبة مع تعارفها بين العقلاء بهذه الطريقة</w:t>
      </w:r>
      <w:r w:rsidR="000B0950">
        <w:rPr>
          <w:rFonts w:ascii="mylotus" w:hAnsi="mylotus"/>
          <w:sz w:val="34"/>
          <w:szCs w:val="34"/>
          <w:rtl/>
        </w:rPr>
        <w:t xml:space="preserve"> </w:t>
      </w:r>
      <w:r w:rsidRPr="00AC7A32">
        <w:rPr>
          <w:rFonts w:ascii="mylotus" w:hAnsi="mylotus"/>
          <w:sz w:val="34"/>
          <w:szCs w:val="34"/>
          <w:rtl/>
        </w:rPr>
        <w:t>لورد في جميع العقود المعاطاتية، بأن يقال</w:t>
      </w:r>
      <w:bookmarkStart w:id="0" w:name="_GoBack"/>
      <w:bookmarkEnd w:id="0"/>
      <w:r w:rsidRPr="00AC7A32">
        <w:rPr>
          <w:rFonts w:ascii="mylotus" w:hAnsi="mylotus"/>
          <w:sz w:val="34"/>
          <w:szCs w:val="34"/>
          <w:rtl/>
        </w:rPr>
        <w:t>: إن البيوع المعاطاتية الجارية في الأسواق هي من قبيل عدم الم</w:t>
      </w:r>
      <w:r w:rsidR="000B0950">
        <w:rPr>
          <w:rFonts w:ascii="mylotus" w:hAnsi="mylotus"/>
          <w:sz w:val="34"/>
          <w:szCs w:val="34"/>
          <w:rtl/>
        </w:rPr>
        <w:t>انع من التملك بالقبض بإزاء عوض</w:t>
      </w:r>
      <w:r w:rsidRPr="00AC7A32">
        <w:rPr>
          <w:rFonts w:ascii="mylotus" w:hAnsi="mylotus"/>
          <w:sz w:val="34"/>
          <w:szCs w:val="34"/>
          <w:rtl/>
        </w:rPr>
        <w:t xml:space="preserve"> من دو</w:t>
      </w:r>
      <w:r w:rsidR="000B0950">
        <w:rPr>
          <w:rFonts w:ascii="mylotus" w:hAnsi="mylotus"/>
          <w:sz w:val="34"/>
          <w:szCs w:val="34"/>
          <w:rtl/>
        </w:rPr>
        <w:t>ن أن ينشئ بيعاً من إيجاب وقبول</w:t>
      </w:r>
      <w:r w:rsidR="000B0950">
        <w:rPr>
          <w:rFonts w:ascii="mylotus" w:hAnsi="mylotus" w:hint="cs"/>
          <w:sz w:val="34"/>
          <w:szCs w:val="34"/>
          <w:rtl/>
        </w:rPr>
        <w:t>.</w:t>
      </w:r>
      <w:r w:rsidRPr="00AC7A32">
        <w:rPr>
          <w:rFonts w:ascii="mylotus" w:hAnsi="mylotus"/>
          <w:sz w:val="34"/>
          <w:szCs w:val="34"/>
          <w:rtl/>
        </w:rPr>
        <w:t xml:space="preserve"> وهو مما لا</w:t>
      </w:r>
      <w:r w:rsidR="000B0950">
        <w:rPr>
          <w:rFonts w:ascii="mylotus" w:hAnsi="mylotus" w:hint="cs"/>
          <w:sz w:val="34"/>
          <w:szCs w:val="34"/>
          <w:rtl/>
        </w:rPr>
        <w:t xml:space="preserve"> </w:t>
      </w:r>
      <w:r w:rsidRPr="00AC7A32">
        <w:rPr>
          <w:rFonts w:ascii="mylotus" w:hAnsi="mylotus"/>
          <w:sz w:val="34"/>
          <w:szCs w:val="34"/>
          <w:rtl/>
        </w:rPr>
        <w:t>يحتمل</w:t>
      </w:r>
      <w:r w:rsidR="000B0950">
        <w:rPr>
          <w:rFonts w:ascii="mylotus" w:hAnsi="mylotus"/>
          <w:sz w:val="34"/>
          <w:szCs w:val="34"/>
          <w:rtl/>
        </w:rPr>
        <w:t>،</w:t>
      </w:r>
      <w:r w:rsidRPr="00AC7A32">
        <w:rPr>
          <w:rFonts w:ascii="mylotus" w:hAnsi="mylotus"/>
          <w:sz w:val="34"/>
          <w:szCs w:val="34"/>
          <w:rtl/>
        </w:rPr>
        <w:t xml:space="preserve"> لأن المرتكز العقلائي قائم على أن المعاطاة الجارية سواءً في العقود الجائزة كالهبة أو العقود اللازمة كالبيع ونحوه كلها من باب العقود وإنشاء إيجاب وقبول، وإن كان</w:t>
      </w:r>
      <w:r w:rsidR="000B0950">
        <w:rPr>
          <w:rFonts w:ascii="mylotus" w:hAnsi="mylotus"/>
          <w:sz w:val="34"/>
          <w:szCs w:val="34"/>
          <w:rtl/>
        </w:rPr>
        <w:t xml:space="preserve"> </w:t>
      </w:r>
      <w:r w:rsidRPr="00AC7A32">
        <w:rPr>
          <w:rFonts w:ascii="mylotus" w:hAnsi="mylotus"/>
          <w:sz w:val="34"/>
          <w:szCs w:val="34"/>
          <w:rtl/>
        </w:rPr>
        <w:t>الإنشاء بالفعل لا بالقول واللفظ</w:t>
      </w:r>
      <w:r w:rsidRPr="00AC7A32">
        <w:rPr>
          <w:rFonts w:ascii="mylotus" w:hAnsi="mylotus"/>
          <w:sz w:val="34"/>
          <w:szCs w:val="34"/>
        </w:rPr>
        <w:t>.</w:t>
      </w:r>
    </w:p>
    <w:p w14:paraId="7BE3E162" w14:textId="49641B73" w:rsidR="004C0E2F" w:rsidRDefault="00AC7A32" w:rsidP="000B0950">
      <w:pPr>
        <w:pStyle w:val="a0"/>
        <w:widowControl w:val="0"/>
        <w:bidi/>
        <w:spacing w:line="216" w:lineRule="auto"/>
        <w:ind w:firstLine="0"/>
        <w:rPr>
          <w:rFonts w:ascii="mylotus" w:hAnsi="mylotus"/>
          <w:b/>
          <w:bCs/>
          <w:sz w:val="34"/>
          <w:szCs w:val="34"/>
          <w:rtl/>
        </w:rPr>
      </w:pPr>
      <w:r w:rsidRPr="00AC7A32">
        <w:rPr>
          <w:rFonts w:ascii="mylotus" w:hAnsi="mylotus"/>
          <w:sz w:val="34"/>
          <w:szCs w:val="34"/>
          <w:rtl/>
        </w:rPr>
        <w:t>وبال</w:t>
      </w:r>
      <w:r w:rsidR="000B0950">
        <w:rPr>
          <w:rFonts w:ascii="mylotus" w:hAnsi="mylotus"/>
          <w:sz w:val="34"/>
          <w:szCs w:val="34"/>
          <w:rtl/>
        </w:rPr>
        <w:t>تالي إذا تمت السيرة العقلائية</w:t>
      </w:r>
      <w:r w:rsidRPr="00AC7A32">
        <w:rPr>
          <w:rFonts w:ascii="mylotus" w:hAnsi="mylotus"/>
          <w:sz w:val="34"/>
          <w:szCs w:val="34"/>
          <w:rtl/>
        </w:rPr>
        <w:t xml:space="preserve"> في الهبة ونحوها من الأفعال المعاطاتية تمت في العقود اللفظية لعدم احتمال التفصيل</w:t>
      </w:r>
      <w:r w:rsidRPr="00AC7A32">
        <w:rPr>
          <w:rFonts w:ascii="Times New Roman" w:hAnsi="Times New Roman" w:cs="Times New Roman" w:hint="cs"/>
          <w:sz w:val="34"/>
          <w:szCs w:val="34"/>
          <w:rtl/>
        </w:rPr>
        <w:t> </w:t>
      </w:r>
      <w:r w:rsidRPr="00AC7A32">
        <w:rPr>
          <w:rFonts w:ascii="mylotus" w:hAnsi="mylotus" w:hint="cs"/>
          <w:sz w:val="34"/>
          <w:szCs w:val="34"/>
          <w:rtl/>
        </w:rPr>
        <w:t>بين</w:t>
      </w:r>
      <w:r w:rsidRPr="00AC7A32">
        <w:rPr>
          <w:rFonts w:ascii="Times New Roman" w:hAnsi="Times New Roman" w:cs="Times New Roman" w:hint="cs"/>
          <w:sz w:val="34"/>
          <w:szCs w:val="34"/>
          <w:rtl/>
        </w:rPr>
        <w:t> </w:t>
      </w:r>
      <w:r w:rsidRPr="00AC7A32">
        <w:rPr>
          <w:rFonts w:ascii="mylotus" w:hAnsi="mylotus" w:hint="cs"/>
          <w:sz w:val="34"/>
          <w:szCs w:val="34"/>
          <w:rtl/>
        </w:rPr>
        <w:t>الأمرين</w:t>
      </w:r>
      <w:r w:rsidRPr="00AC7A32">
        <w:rPr>
          <w:rFonts w:ascii="mylotus" w:hAnsi="mylotus"/>
          <w:sz w:val="34"/>
          <w:szCs w:val="34"/>
          <w:rtl/>
        </w:rPr>
        <w:t>.</w:t>
      </w:r>
    </w:p>
    <w:p w14:paraId="2D24CFF0" w14:textId="3BB9A841" w:rsidR="001F034F" w:rsidRPr="005F7776" w:rsidRDefault="00E706A4" w:rsidP="000B0950">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4D3D2F" w14:textId="77777777" w:rsidR="00C70C00" w:rsidRDefault="00C70C00" w:rsidP="00A5027D">
      <w:pPr>
        <w:spacing w:line="240" w:lineRule="auto"/>
      </w:pPr>
      <w:r>
        <w:separator/>
      </w:r>
    </w:p>
  </w:endnote>
  <w:endnote w:type="continuationSeparator" w:id="0">
    <w:p w14:paraId="49493A33" w14:textId="77777777" w:rsidR="00C70C00" w:rsidRDefault="00C70C00"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7999F" w14:textId="77777777" w:rsidR="00810555" w:rsidRDefault="0081055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1F050F" w:rsidRPr="001F050F">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E9E49" w14:textId="77777777" w:rsidR="00810555" w:rsidRDefault="0081055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F50D26" w14:textId="77777777" w:rsidR="00C70C00" w:rsidRDefault="00C70C00" w:rsidP="00A5027D">
      <w:pPr>
        <w:spacing w:line="240" w:lineRule="auto"/>
      </w:pPr>
      <w:r>
        <w:separator/>
      </w:r>
    </w:p>
  </w:footnote>
  <w:footnote w:type="continuationSeparator" w:id="0">
    <w:p w14:paraId="401A66EE" w14:textId="77777777" w:rsidR="00C70C00" w:rsidRDefault="00C70C00"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139CD" w14:textId="77777777" w:rsidR="00810555" w:rsidRDefault="0081055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7D553877" w:rsidR="00B07F43" w:rsidRPr="005F7776" w:rsidRDefault="00B07F43" w:rsidP="00AC7A32">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AC7A32">
      <w:rPr>
        <w:rFonts w:ascii="mylotus" w:hAnsi="mylotus" w:cs="mylotus" w:hint="cs"/>
        <w:color w:val="FF0000"/>
        <w:sz w:val="26"/>
        <w:szCs w:val="26"/>
        <w:rtl/>
      </w:rPr>
      <w:t>26</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AC7A32">
      <w:rPr>
        <w:rFonts w:ascii="mylotus" w:hAnsi="mylotus" w:cs="mylotus" w:hint="cs"/>
        <w:color w:val="FF0000"/>
        <w:sz w:val="26"/>
        <w:szCs w:val="26"/>
        <w:rtl/>
      </w:rPr>
      <w:t>اثنين</w:t>
    </w:r>
    <w:r w:rsidR="00A50831">
      <w:rPr>
        <w:rFonts w:ascii="mylotus" w:hAnsi="mylotus" w:cs="mylotus" w:hint="cs"/>
        <w:color w:val="FF0000"/>
        <w:sz w:val="26"/>
        <w:szCs w:val="26"/>
        <w:rtl/>
      </w:rPr>
      <w:t xml:space="preserve"> </w:t>
    </w:r>
    <w:r w:rsidR="00AC7A32">
      <w:rPr>
        <w:rFonts w:ascii="mylotus" w:hAnsi="mylotus" w:cs="mylotus" w:hint="cs"/>
        <w:color w:val="FF0000"/>
        <w:sz w:val="26"/>
        <w:szCs w:val="26"/>
        <w:rtl/>
      </w:rPr>
      <w:t>8</w:t>
    </w:r>
    <w:r w:rsidR="004C0E2F">
      <w:rPr>
        <w:rFonts w:ascii="mylotus" w:hAnsi="mylotus" w:cs="mylotus" w:hint="cs"/>
        <w:color w:val="FF0000"/>
        <w:sz w:val="26"/>
        <w:szCs w:val="26"/>
        <w:rtl/>
      </w:rPr>
      <w:t xml:space="preserve"> </w:t>
    </w:r>
    <w:r w:rsidR="009E5572">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0B0950">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w:t>
    </w:r>
    <w:r w:rsidR="001C2D46">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15C00" w14:textId="77777777" w:rsidR="00810555" w:rsidRDefault="00810555">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B0950"/>
    <w:rsid w:val="000C2631"/>
    <w:rsid w:val="000F2D22"/>
    <w:rsid w:val="00102391"/>
    <w:rsid w:val="00104288"/>
    <w:rsid w:val="00112988"/>
    <w:rsid w:val="00126819"/>
    <w:rsid w:val="001700E2"/>
    <w:rsid w:val="0018506F"/>
    <w:rsid w:val="00190CDF"/>
    <w:rsid w:val="001B36AE"/>
    <w:rsid w:val="001B7AAB"/>
    <w:rsid w:val="001C2D46"/>
    <w:rsid w:val="001D2C21"/>
    <w:rsid w:val="001D40F0"/>
    <w:rsid w:val="001F034F"/>
    <w:rsid w:val="001F050F"/>
    <w:rsid w:val="002220AA"/>
    <w:rsid w:val="00225C1C"/>
    <w:rsid w:val="002339F1"/>
    <w:rsid w:val="002438AD"/>
    <w:rsid w:val="0024499D"/>
    <w:rsid w:val="002530E6"/>
    <w:rsid w:val="00257474"/>
    <w:rsid w:val="00283ED3"/>
    <w:rsid w:val="00294D72"/>
    <w:rsid w:val="002A79FA"/>
    <w:rsid w:val="002B4E62"/>
    <w:rsid w:val="002B5064"/>
    <w:rsid w:val="002C2718"/>
    <w:rsid w:val="002C3704"/>
    <w:rsid w:val="002D0D9E"/>
    <w:rsid w:val="002D2D63"/>
    <w:rsid w:val="002D722A"/>
    <w:rsid w:val="002F1501"/>
    <w:rsid w:val="00316628"/>
    <w:rsid w:val="003228E8"/>
    <w:rsid w:val="00331615"/>
    <w:rsid w:val="00341791"/>
    <w:rsid w:val="0035443E"/>
    <w:rsid w:val="0035715B"/>
    <w:rsid w:val="003652B1"/>
    <w:rsid w:val="003A4C77"/>
    <w:rsid w:val="003B66BF"/>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0E2F"/>
    <w:rsid w:val="004C2054"/>
    <w:rsid w:val="004D6F7D"/>
    <w:rsid w:val="0050790C"/>
    <w:rsid w:val="0051676D"/>
    <w:rsid w:val="00524E83"/>
    <w:rsid w:val="005365F6"/>
    <w:rsid w:val="00540115"/>
    <w:rsid w:val="00560065"/>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10555"/>
    <w:rsid w:val="00836BC1"/>
    <w:rsid w:val="00850894"/>
    <w:rsid w:val="0085748D"/>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5723E"/>
    <w:rsid w:val="00963C62"/>
    <w:rsid w:val="00964B73"/>
    <w:rsid w:val="0096623A"/>
    <w:rsid w:val="0097647D"/>
    <w:rsid w:val="0098687C"/>
    <w:rsid w:val="00994D9F"/>
    <w:rsid w:val="009954B5"/>
    <w:rsid w:val="009B1550"/>
    <w:rsid w:val="009C701E"/>
    <w:rsid w:val="009D7D48"/>
    <w:rsid w:val="009E5572"/>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C7A32"/>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09A8"/>
    <w:rsid w:val="00BA53AA"/>
    <w:rsid w:val="00BB1CD3"/>
    <w:rsid w:val="00BD2206"/>
    <w:rsid w:val="00BD26E3"/>
    <w:rsid w:val="00BD7A64"/>
    <w:rsid w:val="00BF0852"/>
    <w:rsid w:val="00C017CB"/>
    <w:rsid w:val="00C02079"/>
    <w:rsid w:val="00C22646"/>
    <w:rsid w:val="00C3133B"/>
    <w:rsid w:val="00C51A22"/>
    <w:rsid w:val="00C57BF1"/>
    <w:rsid w:val="00C705EB"/>
    <w:rsid w:val="00C70C00"/>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2BA86-8096-405D-9245-207E1C828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1178</Words>
  <Characters>6718</Characters>
  <Application>Microsoft Office Word</Application>
  <DocSecurity>0</DocSecurity>
  <Lines>55</Lines>
  <Paragraphs>15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3</cp:revision>
  <cp:lastPrinted>2024-02-19T17:18:00Z</cp:lastPrinted>
  <dcterms:created xsi:type="dcterms:W3CDTF">2024-02-19T17:18:00Z</dcterms:created>
  <dcterms:modified xsi:type="dcterms:W3CDTF">2024-02-19T17:19:00Z</dcterms:modified>
</cp:coreProperties>
</file>