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457EBD" w14:textId="77777777" w:rsidR="00444116" w:rsidRDefault="00AC2737" w:rsidP="00EE6CDD">
      <w:pPr>
        <w:pStyle w:val="a"/>
        <w:bidi/>
        <w:jc w:val="center"/>
        <w:rPr>
          <w:rFonts w:ascii="mylotus" w:hAnsi="mylotus"/>
          <w:b/>
          <w:bCs/>
          <w:sz w:val="32"/>
          <w:rtl/>
        </w:rPr>
      </w:pPr>
      <w:r w:rsidRPr="00444116">
        <w:rPr>
          <w:rFonts w:ascii="mylotus" w:hAnsi="mylotus"/>
          <w:b/>
          <w:bCs/>
          <w:sz w:val="32"/>
          <w:rtl/>
        </w:rPr>
        <w:t>بسم الله الرحمن الرحيم</w:t>
      </w:r>
    </w:p>
    <w:p w14:paraId="141C04A3" w14:textId="77777777" w:rsidR="00444116" w:rsidRDefault="00AC2737" w:rsidP="00EE6CDD">
      <w:pPr>
        <w:pStyle w:val="a"/>
        <w:bidi/>
        <w:jc w:val="center"/>
        <w:rPr>
          <w:rFonts w:ascii="mylotus" w:hAnsi="mylotus"/>
          <w:b/>
          <w:bCs/>
          <w:sz w:val="32"/>
          <w:rtl/>
        </w:rPr>
      </w:pPr>
      <w:r w:rsidRPr="00444116">
        <w:rPr>
          <w:rFonts w:ascii="mylotus" w:hAnsi="mylotus"/>
          <w:b/>
          <w:bCs/>
          <w:sz w:val="32"/>
          <w:rtl/>
        </w:rPr>
        <w:t>والصلاة والسلام على أشرف الأنبياء والمرسلين، محمد وآله الطيبين الطاهرين</w:t>
      </w:r>
    </w:p>
    <w:p w14:paraId="11EA8AE1" w14:textId="7A028413" w:rsidR="00444116" w:rsidRDefault="00AC2737" w:rsidP="00EE6CDD">
      <w:pPr>
        <w:pStyle w:val="a"/>
        <w:bidi/>
        <w:jc w:val="center"/>
        <w:rPr>
          <w:rFonts w:ascii="mylotus" w:hAnsi="mylotus"/>
          <w:sz w:val="32"/>
          <w:rtl/>
        </w:rPr>
      </w:pPr>
      <w:r w:rsidRPr="00444116">
        <w:rPr>
          <w:rFonts w:ascii="mylotus" w:hAnsi="mylotus"/>
          <w:b/>
          <w:bCs/>
          <w:sz w:val="32"/>
          <w:rtl/>
        </w:rPr>
        <w:t>واللعن الدائم على أعدائهم أجمعين إلى قيام يوم الدين</w:t>
      </w:r>
    </w:p>
    <w:p w14:paraId="466481FB" w14:textId="77777777" w:rsidR="00DE709A" w:rsidRPr="00DE709A" w:rsidRDefault="00DE709A" w:rsidP="00DE709A">
      <w:pPr>
        <w:pStyle w:val="a"/>
        <w:bidi/>
        <w:rPr>
          <w:rFonts w:ascii="mylotus" w:hAnsi="mylotus"/>
          <w:sz w:val="32"/>
          <w:rtl/>
        </w:rPr>
      </w:pPr>
      <w:r w:rsidRPr="00DE709A">
        <w:rPr>
          <w:rFonts w:ascii="mylotus" w:hAnsi="mylotus"/>
          <w:sz w:val="32"/>
          <w:rtl/>
        </w:rPr>
        <w:t>والتعليق على ما مضى أن هنا عدة أسئلة</w:t>
      </w:r>
      <w:r w:rsidRPr="00DE709A">
        <w:rPr>
          <w:rFonts w:ascii="mylotus" w:hAnsi="mylotus"/>
          <w:sz w:val="32"/>
        </w:rPr>
        <w:t>:</w:t>
      </w:r>
    </w:p>
    <w:p w14:paraId="18DB6662" w14:textId="56E99398" w:rsidR="00DE709A" w:rsidRPr="00DE709A" w:rsidRDefault="00DE709A" w:rsidP="00DE709A">
      <w:pPr>
        <w:pStyle w:val="a"/>
        <w:bidi/>
        <w:rPr>
          <w:rFonts w:ascii="mylotus" w:hAnsi="mylotus"/>
          <w:sz w:val="32"/>
          <w:rtl/>
        </w:rPr>
      </w:pPr>
      <w:r w:rsidRPr="00DE709A">
        <w:rPr>
          <w:rFonts w:ascii="mylotus" w:hAnsi="mylotus"/>
          <w:b/>
          <w:bCs/>
          <w:sz w:val="32"/>
          <w:rtl/>
        </w:rPr>
        <w:t>السؤال الأول:</w:t>
      </w:r>
      <w:r>
        <w:rPr>
          <w:rFonts w:ascii="mylotus" w:hAnsi="mylotus"/>
          <w:sz w:val="32"/>
          <w:rtl/>
        </w:rPr>
        <w:t xml:space="preserve"> </w:t>
      </w:r>
      <w:r w:rsidRPr="00DE709A">
        <w:rPr>
          <w:rFonts w:ascii="mylotus" w:hAnsi="mylotus"/>
          <w:sz w:val="32"/>
          <w:rtl/>
        </w:rPr>
        <w:t>هل أن قيام دليل على صحة الاستنابة يعني أن الاستنابة عدل للواجب أم لا؟ كما لو قام دليل على صحة الاستنابة في الطواف؟ والصحيح أن مجرد قيام الدليل على صحة الاستنابة لا يعني أن الاستنابة المفضية إلى عمل النائب عدل للواجب بل قد تكون الاستنابة المؤدية لعمل النائب مسقطا للواجب وليست عدلا، فمجرد قيام الدليل على صحة الاستنابة لا ظهور فيه في كون الاستنابة عدلا</w:t>
      </w:r>
      <w:r w:rsidRPr="00DE709A">
        <w:rPr>
          <w:rFonts w:ascii="mylotus" w:hAnsi="mylotus"/>
          <w:sz w:val="32"/>
        </w:rPr>
        <w:t>.</w:t>
      </w:r>
    </w:p>
    <w:p w14:paraId="33F37C2B" w14:textId="1B1C656B" w:rsidR="00DE709A" w:rsidRPr="00DE709A" w:rsidRDefault="00DE709A" w:rsidP="00DE709A">
      <w:pPr>
        <w:pStyle w:val="a"/>
        <w:bidi/>
        <w:rPr>
          <w:rFonts w:ascii="mylotus" w:hAnsi="mylotus"/>
          <w:sz w:val="32"/>
          <w:rtl/>
        </w:rPr>
      </w:pPr>
      <w:r w:rsidRPr="00DE709A">
        <w:rPr>
          <w:rFonts w:ascii="mylotus" w:hAnsi="mylotus"/>
          <w:b/>
          <w:bCs/>
          <w:sz w:val="32"/>
          <w:rtl/>
        </w:rPr>
        <w:t>السؤال الثاني:</w:t>
      </w:r>
      <w:r w:rsidRPr="00DE709A">
        <w:rPr>
          <w:rFonts w:ascii="mylotus" w:hAnsi="mylotus"/>
          <w:sz w:val="32"/>
          <w:rtl/>
        </w:rPr>
        <w:t xml:space="preserve"> هل أن خطاب المكلف بالجامع بين الفعل المباشري والاستنابة المفضية لعمل الغير معقول أم ليس بمعقول؟ الجواب : قد سبق أن خطاب المكلف بالجامع بين فعله وفعل الغير عن تسبيب منه أو الجامع بين فعله وبين تسبيبه المفضي لصدور الفعل من الغير معقول؛ لأن الجامع بهذا النحو مقدور على كل حال، باعتبار أن المناط في صحة التكليف بفعل لدى المرتكز العقلائي ضمانُ وقوعه لو اختاره المكلف ودفع عنه العوائق، ومن ذلك فعل الغير فإن مناط التكليف به أنه</w:t>
      </w:r>
      <w:r>
        <w:rPr>
          <w:rFonts w:ascii="mylotus" w:hAnsi="mylotus"/>
          <w:sz w:val="32"/>
          <w:rtl/>
        </w:rPr>
        <w:t xml:space="preserve"> </w:t>
      </w:r>
      <w:r w:rsidRPr="00DE709A">
        <w:rPr>
          <w:rFonts w:ascii="mylotus" w:hAnsi="mylotus"/>
          <w:sz w:val="32"/>
          <w:rtl/>
        </w:rPr>
        <w:t>متى قام المكلف</w:t>
      </w:r>
      <w:r>
        <w:rPr>
          <w:rFonts w:ascii="mylotus" w:hAnsi="mylotus"/>
          <w:sz w:val="32"/>
          <w:rtl/>
        </w:rPr>
        <w:t xml:space="preserve"> </w:t>
      </w:r>
      <w:r w:rsidRPr="00DE709A">
        <w:rPr>
          <w:rFonts w:ascii="mylotus" w:hAnsi="mylotus"/>
          <w:sz w:val="32"/>
          <w:rtl/>
        </w:rPr>
        <w:t>بتسبيب لهذا الفعل فإنه يضمن وقوع الفعل من الغير، سواء أكان التسبيب أحد العوامل في صدور الفعل أو كان هو السبب الأقوى، كما لو كان الفاعل عبده أو ولده الذي تحت إرادته، فإن الفعل</w:t>
      </w:r>
      <w:r>
        <w:rPr>
          <w:rFonts w:ascii="mylotus" w:hAnsi="mylotus"/>
          <w:sz w:val="32"/>
          <w:rtl/>
        </w:rPr>
        <w:t xml:space="preserve"> </w:t>
      </w:r>
      <w:r w:rsidRPr="00DE709A">
        <w:rPr>
          <w:rFonts w:ascii="mylotus" w:hAnsi="mylotus"/>
          <w:sz w:val="32"/>
          <w:rtl/>
        </w:rPr>
        <w:t>في كلتا الصورتين مقدور، فإن هذا المقدار من القدرة كاف في صحة التكليف به إذا كان فيه غرض للمولى</w:t>
      </w:r>
      <w:r w:rsidRPr="00DE709A">
        <w:rPr>
          <w:rFonts w:ascii="mylotus" w:hAnsi="mylotus"/>
          <w:sz w:val="32"/>
        </w:rPr>
        <w:t>.</w:t>
      </w:r>
    </w:p>
    <w:p w14:paraId="1EEF4ACD" w14:textId="2D1918F3" w:rsidR="00DE709A" w:rsidRPr="00DE709A" w:rsidRDefault="00DE709A" w:rsidP="00DE709A">
      <w:pPr>
        <w:pStyle w:val="a"/>
        <w:bidi/>
        <w:rPr>
          <w:rFonts w:ascii="mylotus" w:hAnsi="mylotus"/>
          <w:sz w:val="32"/>
          <w:rtl/>
        </w:rPr>
      </w:pPr>
      <w:r w:rsidRPr="00DE709A">
        <w:rPr>
          <w:rFonts w:ascii="mylotus" w:hAnsi="mylotus"/>
          <w:b/>
          <w:bCs/>
          <w:sz w:val="32"/>
          <w:rtl/>
        </w:rPr>
        <w:t>السؤال الثالث:</w:t>
      </w:r>
      <w:r w:rsidRPr="00DE709A">
        <w:rPr>
          <w:rFonts w:ascii="mylotus" w:hAnsi="mylotus"/>
          <w:sz w:val="32"/>
          <w:rtl/>
        </w:rPr>
        <w:t xml:space="preserve"> هل أن قيام الدليل على صحة ال</w:t>
      </w:r>
      <w:r>
        <w:rPr>
          <w:rFonts w:ascii="mylotus" w:hAnsi="mylotus" w:hint="cs"/>
          <w:sz w:val="32"/>
          <w:rtl/>
        </w:rPr>
        <w:t>ا</w:t>
      </w:r>
      <w:r w:rsidRPr="00DE709A">
        <w:rPr>
          <w:rFonts w:ascii="mylotus" w:hAnsi="mylotus"/>
          <w:sz w:val="32"/>
          <w:rtl/>
        </w:rPr>
        <w:t>ستنابة يستبطن وجود أمر بالفعل المباشري في حق المنوب عنه، والجواب أنه لادلالة له على ذلك ولذا يأتي البحث في أن الإستنابة المفضية لفعل الغير عدل أم مسقط</w:t>
      </w:r>
      <w:r>
        <w:rPr>
          <w:rFonts w:ascii="mylotus" w:hAnsi="mylotus" w:hint="cs"/>
          <w:sz w:val="32"/>
          <w:rtl/>
        </w:rPr>
        <w:t xml:space="preserve">؟ </w:t>
      </w:r>
      <w:r w:rsidRPr="00DE709A">
        <w:rPr>
          <w:rFonts w:ascii="mylotus" w:hAnsi="mylotus"/>
          <w:sz w:val="32"/>
          <w:rtl/>
        </w:rPr>
        <w:t>نعم</w:t>
      </w:r>
      <w:r>
        <w:rPr>
          <w:rFonts w:ascii="mylotus" w:hAnsi="mylotus"/>
          <w:sz w:val="32"/>
          <w:rtl/>
        </w:rPr>
        <w:t xml:space="preserve"> </w:t>
      </w:r>
      <w:r w:rsidRPr="00DE709A">
        <w:rPr>
          <w:rFonts w:ascii="mylotus" w:hAnsi="mylotus"/>
          <w:sz w:val="32"/>
          <w:rtl/>
        </w:rPr>
        <w:t>لو كان المكلف مأمورا بفعلٍ وأذن له الشارع في إفراغ عهدته منه بالاستنابة فقال: (عليك بالطواف ولكن يمكنك إفراغ عهدتك من الطواف بالاستنابة)</w:t>
      </w:r>
      <w:r>
        <w:rPr>
          <w:rFonts w:ascii="mylotus" w:hAnsi="mylotus" w:hint="cs"/>
          <w:sz w:val="32"/>
          <w:rtl/>
        </w:rPr>
        <w:t xml:space="preserve"> </w:t>
      </w:r>
      <w:r w:rsidRPr="00DE709A">
        <w:rPr>
          <w:rFonts w:ascii="mylotus" w:hAnsi="mylotus"/>
          <w:sz w:val="32"/>
          <w:rtl/>
        </w:rPr>
        <w:t>فإن فعل النائب حينئذ لا يتصور أن يكون عدلا للفعل المباشري كما أفيد في المنتقى، إذ بعد فرض أن المنوب عنه مأمور وأن الاستنابة</w:t>
      </w:r>
      <w:r>
        <w:rPr>
          <w:rFonts w:ascii="mylotus" w:hAnsi="mylotus"/>
          <w:sz w:val="32"/>
          <w:rtl/>
        </w:rPr>
        <w:t xml:space="preserve"> </w:t>
      </w:r>
      <w:r w:rsidRPr="00DE709A">
        <w:rPr>
          <w:rFonts w:ascii="mylotus" w:hAnsi="mylotus"/>
          <w:sz w:val="32"/>
          <w:rtl/>
        </w:rPr>
        <w:t>إفساح مجال من الشارع في إفراغ العهدة فلا محالة فعل النائب متأخر رتبة عن وجود أمر في حق المنوب عنه، فلا يحتمل أن يكون فعل النائب عدلا لفعل المنوب عنه، وهذه نقطة واضحة لا تحتاج إلى بحث</w:t>
      </w:r>
      <w:r w:rsidRPr="00DE709A">
        <w:rPr>
          <w:rFonts w:ascii="mylotus" w:hAnsi="mylotus"/>
          <w:sz w:val="32"/>
        </w:rPr>
        <w:t>.</w:t>
      </w:r>
    </w:p>
    <w:p w14:paraId="5D155165" w14:textId="78E8C8FE" w:rsidR="00DE709A" w:rsidRPr="00DE709A" w:rsidRDefault="00DE709A" w:rsidP="00DE709A">
      <w:pPr>
        <w:pStyle w:val="a"/>
        <w:bidi/>
        <w:rPr>
          <w:rFonts w:ascii="mylotus" w:hAnsi="mylotus"/>
          <w:sz w:val="32"/>
          <w:rtl/>
        </w:rPr>
      </w:pPr>
      <w:r w:rsidRPr="00DE709A">
        <w:rPr>
          <w:rFonts w:ascii="mylotus" w:hAnsi="mylotus"/>
          <w:b/>
          <w:bCs/>
          <w:sz w:val="32"/>
          <w:rtl/>
        </w:rPr>
        <w:t>السؤال الرابع:</w:t>
      </w:r>
      <w:r w:rsidRPr="00DE709A">
        <w:rPr>
          <w:rFonts w:ascii="mylotus" w:hAnsi="mylotus"/>
          <w:sz w:val="32"/>
          <w:rtl/>
        </w:rPr>
        <w:t xml:space="preserve"> هل أن حقيقة النيابة تقتضي وجود أمر في حق المنوب عنه أم لا؟ والصحيح أنها لا تقتضي، فإن النيابة عنوان قصدي، سواء عرفت النيابة بتنزيل النائب نفسه منزلة المنوب عنه أو عرفت النيابة </w:t>
      </w:r>
      <w:r w:rsidRPr="00DE709A">
        <w:rPr>
          <w:rFonts w:ascii="mylotus" w:hAnsi="mylotus"/>
          <w:sz w:val="32"/>
          <w:rtl/>
        </w:rPr>
        <w:lastRenderedPageBreak/>
        <w:t>بأنها تنزيل عمل النائب منزلة عمل المنوب عنه أو عرفت بأنها القيام بعملٍ بقصد إيصال أثره للمنوب عنه أو عرفت النيابة بأنها قصد البدلية أي: جعل عمل النائب بدلا عن عمل المنوب عنه، فإنه على جميع التعريفات للنيابة تكون عنوانا قصديا متقوما بتصور المنوب عنه من جهة وتصور أثرٍ يصل للمنوب عنه من جهة أخرى، ولا تحتاج النيابة إلى أكثر من ذلك، أي: لا يعتبر في النيابة عقلا أو عرفا وجود أمر في حق المنوب عنه، بل يكفي فيها تصور وجود منوب عنه وتصور أثر لو قام بالنيابة لوصل إليه، ولذلك قامت الأدلة على صحة النيابة في الحج المستحب عن الميت وفي الزيارات عن الميت والحي، وإن لم يكن المنوب عنه</w:t>
      </w:r>
      <w:r>
        <w:rPr>
          <w:rFonts w:ascii="mylotus" w:hAnsi="mylotus"/>
          <w:sz w:val="32"/>
          <w:rtl/>
        </w:rPr>
        <w:t xml:space="preserve"> </w:t>
      </w:r>
      <w:r w:rsidRPr="00DE709A">
        <w:rPr>
          <w:rFonts w:ascii="mylotus" w:hAnsi="mylotus"/>
          <w:sz w:val="32"/>
          <w:rtl/>
        </w:rPr>
        <w:t>مأمورا كما لو كان ميتا أو مجنونا أو مغمى عليه، فدعوى أن النيابة تقتضي ذلك في غير محلها</w:t>
      </w:r>
      <w:r w:rsidRPr="00DE709A">
        <w:rPr>
          <w:rFonts w:ascii="mylotus" w:hAnsi="mylotus"/>
          <w:sz w:val="32"/>
        </w:rPr>
        <w:t>.</w:t>
      </w:r>
    </w:p>
    <w:p w14:paraId="15E06F01" w14:textId="1A4759DB" w:rsidR="00DE709A" w:rsidRPr="00DE709A" w:rsidRDefault="00DE709A" w:rsidP="00DE709A">
      <w:pPr>
        <w:pStyle w:val="a"/>
        <w:bidi/>
        <w:rPr>
          <w:rFonts w:ascii="mylotus" w:hAnsi="mylotus"/>
          <w:b/>
          <w:bCs/>
          <w:sz w:val="32"/>
          <w:rtl/>
        </w:rPr>
      </w:pPr>
      <w:r w:rsidRPr="00DE709A">
        <w:rPr>
          <w:rFonts w:ascii="mylotus" w:hAnsi="mylotus"/>
          <w:b/>
          <w:bCs/>
          <w:sz w:val="32"/>
          <w:rtl/>
        </w:rPr>
        <w:t>الجهة الثالثة: ما هو مقتضى الأصل اللفظي</w:t>
      </w:r>
      <w:r>
        <w:rPr>
          <w:rFonts w:ascii="mylotus" w:hAnsi="mylotus" w:hint="cs"/>
          <w:b/>
          <w:bCs/>
          <w:sz w:val="32"/>
          <w:rtl/>
        </w:rPr>
        <w:t xml:space="preserve"> </w:t>
      </w:r>
      <w:r w:rsidRPr="00DE709A">
        <w:rPr>
          <w:rFonts w:ascii="mylotus" w:hAnsi="mylotus"/>
          <w:b/>
          <w:bCs/>
          <w:sz w:val="32"/>
          <w:rtl/>
        </w:rPr>
        <w:t>وما هو مقتضى الأصل العملي إذا شك في الاجتزاء بفعل الغير وعدمه؟</w:t>
      </w:r>
    </w:p>
    <w:p w14:paraId="5E0F2EA3" w14:textId="77777777" w:rsidR="00DE709A" w:rsidRPr="00DE709A" w:rsidRDefault="00DE709A" w:rsidP="00DE709A">
      <w:pPr>
        <w:pStyle w:val="a"/>
        <w:bidi/>
        <w:rPr>
          <w:rFonts w:ascii="mylotus" w:hAnsi="mylotus"/>
          <w:sz w:val="32"/>
          <w:rtl/>
        </w:rPr>
      </w:pPr>
      <w:r w:rsidRPr="00DE709A">
        <w:rPr>
          <w:rFonts w:ascii="mylotus" w:hAnsi="mylotus"/>
          <w:sz w:val="32"/>
          <w:rtl/>
        </w:rPr>
        <w:t>وهنا مقامان: مقتضى الأصل اللفظي ومقتضى الأصل العملي</w:t>
      </w:r>
      <w:r w:rsidRPr="00DE709A">
        <w:rPr>
          <w:rFonts w:ascii="mylotus" w:hAnsi="mylotus"/>
          <w:sz w:val="32"/>
        </w:rPr>
        <w:t>.</w:t>
      </w:r>
    </w:p>
    <w:p w14:paraId="077D02AD" w14:textId="77777777" w:rsidR="00DE709A" w:rsidRPr="00DE709A" w:rsidRDefault="00DE709A" w:rsidP="00DE709A">
      <w:pPr>
        <w:pStyle w:val="a"/>
        <w:bidi/>
        <w:rPr>
          <w:rFonts w:ascii="mylotus" w:hAnsi="mylotus"/>
          <w:b/>
          <w:bCs/>
          <w:sz w:val="32"/>
          <w:rtl/>
        </w:rPr>
      </w:pPr>
      <w:r w:rsidRPr="00DE709A">
        <w:rPr>
          <w:rFonts w:ascii="mylotus" w:hAnsi="mylotus"/>
          <w:b/>
          <w:bCs/>
          <w:sz w:val="32"/>
          <w:rtl/>
        </w:rPr>
        <w:t>المقام الأول: مقتضى الأصل اللفظي</w:t>
      </w:r>
      <w:r w:rsidRPr="00DE709A">
        <w:rPr>
          <w:rFonts w:ascii="mylotus" w:hAnsi="mylotus"/>
          <w:b/>
          <w:bCs/>
          <w:sz w:val="32"/>
        </w:rPr>
        <w:t>.</w:t>
      </w:r>
    </w:p>
    <w:p w14:paraId="61DC6A0E" w14:textId="77777777" w:rsidR="00DE709A" w:rsidRPr="00DE709A" w:rsidRDefault="00DE709A" w:rsidP="00DE709A">
      <w:pPr>
        <w:pStyle w:val="a"/>
        <w:bidi/>
        <w:rPr>
          <w:rFonts w:ascii="mylotus" w:hAnsi="mylotus"/>
          <w:sz w:val="32"/>
          <w:rtl/>
        </w:rPr>
      </w:pPr>
      <w:r w:rsidRPr="00DE709A">
        <w:rPr>
          <w:rFonts w:ascii="mylotus" w:hAnsi="mylotus"/>
          <w:sz w:val="32"/>
          <w:rtl/>
        </w:rPr>
        <w:t>والبحث هنا في موردين، إذ تارةً نشك في أنه هل يجتزأ بالفعل التسبيبي أم لا بد من الفعل المباشري؟ وأخرى نشك في أنه هل يجتزأ بفعل الغير التبرعي أم لا بد من فعل النفس سواء أكان مباشريا أم تسبيبيا</w:t>
      </w:r>
      <w:r w:rsidRPr="00DE709A">
        <w:rPr>
          <w:rFonts w:ascii="mylotus" w:hAnsi="mylotus"/>
          <w:sz w:val="32"/>
        </w:rPr>
        <w:t>.</w:t>
      </w:r>
    </w:p>
    <w:p w14:paraId="5FDD98AA" w14:textId="77777777" w:rsidR="00DE709A" w:rsidRPr="00DE709A" w:rsidRDefault="00DE709A" w:rsidP="00DE709A">
      <w:pPr>
        <w:pStyle w:val="a"/>
        <w:bidi/>
        <w:rPr>
          <w:rFonts w:ascii="mylotus" w:hAnsi="mylotus"/>
          <w:sz w:val="32"/>
          <w:rtl/>
        </w:rPr>
      </w:pPr>
      <w:r w:rsidRPr="00DE709A">
        <w:rPr>
          <w:rFonts w:ascii="mylotus" w:hAnsi="mylotus"/>
          <w:sz w:val="32"/>
          <w:rtl/>
        </w:rPr>
        <w:t>والكلام فعلا في المورد الأول ويتضح منه حكم المورد الثاني</w:t>
      </w:r>
      <w:r w:rsidRPr="00DE709A">
        <w:rPr>
          <w:rFonts w:ascii="mylotus" w:hAnsi="mylotus"/>
          <w:sz w:val="32"/>
        </w:rPr>
        <w:t>.</w:t>
      </w:r>
    </w:p>
    <w:p w14:paraId="53369C15" w14:textId="77777777" w:rsidR="00DE709A" w:rsidRPr="00DE709A" w:rsidRDefault="00DE709A" w:rsidP="00DE709A">
      <w:pPr>
        <w:pStyle w:val="a"/>
        <w:bidi/>
        <w:rPr>
          <w:rFonts w:ascii="mylotus" w:hAnsi="mylotus"/>
          <w:sz w:val="32"/>
          <w:rtl/>
        </w:rPr>
      </w:pPr>
      <w:r w:rsidRPr="00DE709A">
        <w:rPr>
          <w:rFonts w:ascii="mylotus" w:hAnsi="mylotus"/>
          <w:sz w:val="32"/>
          <w:rtl/>
        </w:rPr>
        <w:t>ولعلاج هذا الشك طريقان: الهيئة والمادة</w:t>
      </w:r>
      <w:r w:rsidRPr="00DE709A">
        <w:rPr>
          <w:rFonts w:ascii="mylotus" w:hAnsi="mylotus"/>
          <w:sz w:val="32"/>
        </w:rPr>
        <w:t>.</w:t>
      </w:r>
    </w:p>
    <w:p w14:paraId="710EA1CD" w14:textId="52BA3ACA" w:rsidR="00DE709A" w:rsidRPr="00DE709A" w:rsidRDefault="00DE709A" w:rsidP="00DE709A">
      <w:pPr>
        <w:pStyle w:val="a"/>
        <w:bidi/>
        <w:rPr>
          <w:rFonts w:ascii="mylotus" w:hAnsi="mylotus"/>
          <w:sz w:val="32"/>
          <w:rtl/>
        </w:rPr>
      </w:pPr>
      <w:r w:rsidRPr="00DE709A">
        <w:rPr>
          <w:rFonts w:ascii="mylotus" w:hAnsi="mylotus"/>
          <w:b/>
          <w:bCs/>
          <w:sz w:val="32"/>
          <w:rtl/>
        </w:rPr>
        <w:t>الطريق الأول: طريق الهيئة</w:t>
      </w:r>
      <w:r w:rsidRPr="00DE709A">
        <w:rPr>
          <w:rFonts w:ascii="mylotus" w:hAnsi="mylotus"/>
          <w:sz w:val="32"/>
          <w:rtl/>
        </w:rPr>
        <w:t xml:space="preserve">، وهو ما سلكه سيدنا الخوئي قدس سره، وحاصله أن المرجع إلى الهيئة - يعني الوجوب - فإذا شك في أن الفعل التسبيبي هل يُسقط الوجوب أم لا فمرجع الشك </w:t>
      </w:r>
      <w:r>
        <w:rPr>
          <w:rFonts w:ascii="mylotus" w:hAnsi="mylotus" w:hint="cs"/>
          <w:sz w:val="32"/>
          <w:rtl/>
        </w:rPr>
        <w:t>إ</w:t>
      </w:r>
      <w:r w:rsidRPr="00DE709A">
        <w:rPr>
          <w:rFonts w:ascii="mylotus" w:hAnsi="mylotus"/>
          <w:sz w:val="32"/>
          <w:rtl/>
        </w:rPr>
        <w:t>لى الشك في أن مفاد الهيئة وهو الوجوب هل هو مشروط بعدم فعل الغير أم لا</w:t>
      </w:r>
      <w:r>
        <w:rPr>
          <w:rFonts w:ascii="mylotus" w:hAnsi="mylotus" w:hint="cs"/>
          <w:sz w:val="32"/>
          <w:rtl/>
        </w:rPr>
        <w:t xml:space="preserve">؟ </w:t>
      </w:r>
      <w:r w:rsidRPr="00DE709A">
        <w:rPr>
          <w:rFonts w:ascii="mylotus" w:hAnsi="mylotus"/>
          <w:sz w:val="32"/>
          <w:rtl/>
        </w:rPr>
        <w:t>ومقتضى إطلاق الهيئة عدم الإشتراط</w:t>
      </w:r>
      <w:r>
        <w:rPr>
          <w:rFonts w:ascii="mylotus" w:hAnsi="mylotus"/>
          <w:sz w:val="32"/>
          <w:rtl/>
        </w:rPr>
        <w:t xml:space="preserve"> </w:t>
      </w:r>
      <w:r w:rsidRPr="00DE709A">
        <w:rPr>
          <w:rFonts w:ascii="mylotus" w:hAnsi="mylotus"/>
          <w:sz w:val="32"/>
          <w:rtl/>
        </w:rPr>
        <w:t>- وأثر إطلاق الوجوب فيها - بقاؤه حتى مع حصول الفعل التسبيبي، فمثلا: أمر الحاج يوم العاشر من ذي الحجة برمي جمرة العقبة وشك أنه هل يجزيه أن يستنيب من يرمي عنه جمرة العقبة مع ضمانه لحصول الرمي منه أم لا؟ والجواب أن مقتضى إطلاق الوجوب أنه</w:t>
      </w:r>
      <w:r>
        <w:rPr>
          <w:rFonts w:ascii="mylotus" w:hAnsi="mylotus"/>
          <w:sz w:val="32"/>
          <w:rtl/>
        </w:rPr>
        <w:t xml:space="preserve"> </w:t>
      </w:r>
      <w:r w:rsidRPr="00DE709A">
        <w:rPr>
          <w:rFonts w:ascii="mylotus" w:hAnsi="mylotus"/>
          <w:sz w:val="32"/>
          <w:rtl/>
        </w:rPr>
        <w:t>باقٍ</w:t>
      </w:r>
      <w:r>
        <w:rPr>
          <w:rFonts w:ascii="mylotus" w:hAnsi="mylotus"/>
          <w:sz w:val="32"/>
          <w:rtl/>
        </w:rPr>
        <w:t xml:space="preserve"> </w:t>
      </w:r>
      <w:r w:rsidRPr="00DE709A">
        <w:rPr>
          <w:rFonts w:ascii="mylotus" w:hAnsi="mylotus"/>
          <w:sz w:val="32"/>
          <w:rtl/>
        </w:rPr>
        <w:t>وإن صدر الفعل من الغير عن استنابة . وهذا يعني أن الواجب تعبدي</w:t>
      </w:r>
      <w:r w:rsidRPr="00DE709A">
        <w:rPr>
          <w:rFonts w:ascii="mylotus" w:hAnsi="mylotus"/>
          <w:sz w:val="32"/>
        </w:rPr>
        <w:t>.</w:t>
      </w:r>
    </w:p>
    <w:p w14:paraId="59621CF3" w14:textId="143276CA" w:rsidR="00DE709A" w:rsidRPr="00DE709A" w:rsidRDefault="00DE709A" w:rsidP="00DE709A">
      <w:pPr>
        <w:pStyle w:val="a"/>
        <w:bidi/>
        <w:rPr>
          <w:rFonts w:ascii="mylotus" w:hAnsi="mylotus"/>
          <w:sz w:val="32"/>
          <w:rtl/>
        </w:rPr>
      </w:pPr>
      <w:r w:rsidRPr="00DE709A">
        <w:rPr>
          <w:rFonts w:ascii="mylotus" w:hAnsi="mylotus"/>
          <w:b/>
          <w:bCs/>
          <w:sz w:val="32"/>
          <w:rtl/>
        </w:rPr>
        <w:t>الطريق الثاني: الرجوع إلى المادة</w:t>
      </w:r>
      <w:r>
        <w:rPr>
          <w:rFonts w:ascii="mylotus" w:hAnsi="mylotus" w:hint="cs"/>
          <w:sz w:val="32"/>
          <w:rtl/>
        </w:rPr>
        <w:t>،</w:t>
      </w:r>
      <w:r w:rsidRPr="00DE709A">
        <w:rPr>
          <w:rFonts w:ascii="mylotus" w:hAnsi="mylotus"/>
          <w:sz w:val="32"/>
          <w:rtl/>
        </w:rPr>
        <w:t xml:space="preserve"> وبيانه - كما ذكر المحقق الأصفهاني قد</w:t>
      </w:r>
      <w:r>
        <w:rPr>
          <w:rFonts w:ascii="mylotus" w:hAnsi="mylotus" w:hint="cs"/>
          <w:sz w:val="32"/>
          <w:rtl/>
        </w:rPr>
        <w:t>س سر</w:t>
      </w:r>
      <w:r w:rsidRPr="00DE709A">
        <w:rPr>
          <w:rFonts w:ascii="mylotus" w:hAnsi="mylotus"/>
          <w:sz w:val="32"/>
          <w:rtl/>
        </w:rPr>
        <w:t>ه في غير مورد</w:t>
      </w:r>
      <w:r>
        <w:rPr>
          <w:rFonts w:ascii="mylotus" w:hAnsi="mylotus"/>
          <w:sz w:val="32"/>
          <w:rtl/>
        </w:rPr>
        <w:t xml:space="preserve"> </w:t>
      </w:r>
      <w:r w:rsidRPr="00DE709A">
        <w:rPr>
          <w:rFonts w:ascii="mylotus" w:hAnsi="mylotus"/>
          <w:sz w:val="32"/>
          <w:rtl/>
        </w:rPr>
        <w:t xml:space="preserve">- أن نسبة الوجوب للواجب نسبة الوجود للماهية، فكما أن الوجود محقق للماهية إلا أنها سابقة تصورا عليه فلا بد من تصورها أولا ثم يبحث عن وجودها، فكذلك الوجوب والواجب فإن تعلق الأمر بشيء يعني تصور الشيء </w:t>
      </w:r>
      <w:r w:rsidRPr="00DE709A">
        <w:rPr>
          <w:rFonts w:ascii="mylotus" w:hAnsi="mylotus"/>
          <w:sz w:val="32"/>
          <w:rtl/>
        </w:rPr>
        <w:lastRenderedPageBreak/>
        <w:t>أولا ثم الأمر به، فالوجوب متأخر رتبةً عن الواجب، وهذا يعني أنه لا</w:t>
      </w:r>
      <w:r>
        <w:rPr>
          <w:rFonts w:ascii="mylotus" w:hAnsi="mylotus" w:hint="cs"/>
          <w:sz w:val="32"/>
          <w:rtl/>
        </w:rPr>
        <w:t xml:space="preserve"> </w:t>
      </w:r>
      <w:r w:rsidRPr="00DE709A">
        <w:rPr>
          <w:rFonts w:ascii="mylotus" w:hAnsi="mylotus"/>
          <w:sz w:val="32"/>
          <w:rtl/>
        </w:rPr>
        <w:t>يمكن تحديد ال</w:t>
      </w:r>
      <w:r>
        <w:rPr>
          <w:rFonts w:ascii="mylotus" w:hAnsi="mylotus" w:hint="cs"/>
          <w:sz w:val="32"/>
          <w:rtl/>
        </w:rPr>
        <w:t>إ</w:t>
      </w:r>
      <w:r w:rsidRPr="00DE709A">
        <w:rPr>
          <w:rFonts w:ascii="mylotus" w:hAnsi="mylotus"/>
          <w:sz w:val="32"/>
          <w:rtl/>
        </w:rPr>
        <w:t>طلاق والتقييد في مفاد</w:t>
      </w:r>
      <w:r>
        <w:rPr>
          <w:rFonts w:ascii="mylotus" w:hAnsi="mylotus"/>
          <w:sz w:val="32"/>
          <w:rtl/>
        </w:rPr>
        <w:t xml:space="preserve"> </w:t>
      </w:r>
      <w:r w:rsidRPr="00DE709A">
        <w:rPr>
          <w:rFonts w:ascii="mylotus" w:hAnsi="mylotus"/>
          <w:sz w:val="32"/>
          <w:rtl/>
        </w:rPr>
        <w:t>الهيئة قبل النظر لمفاد المادة لأن المادة هي الواجب والمتعلق والهيئة هي الوجوب المتعلق بالمادة، فلا معنى للتعويل على الطريق الأول - وهو النظر للهيئة - قبل النظر للطريق الثاني وهو المادة</w:t>
      </w:r>
      <w:r w:rsidRPr="00DE709A">
        <w:rPr>
          <w:rFonts w:ascii="mylotus" w:hAnsi="mylotus"/>
          <w:sz w:val="32"/>
        </w:rPr>
        <w:t>.</w:t>
      </w:r>
    </w:p>
    <w:p w14:paraId="23FD6A46" w14:textId="77777777" w:rsidR="00DE709A" w:rsidRPr="00DE709A" w:rsidRDefault="00DE709A" w:rsidP="00DE709A">
      <w:pPr>
        <w:pStyle w:val="a"/>
        <w:bidi/>
        <w:rPr>
          <w:rFonts w:ascii="mylotus" w:hAnsi="mylotus"/>
          <w:sz w:val="32"/>
          <w:rtl/>
        </w:rPr>
      </w:pPr>
      <w:r w:rsidRPr="00DE709A">
        <w:rPr>
          <w:rFonts w:ascii="mylotus" w:hAnsi="mylotus"/>
          <w:sz w:val="32"/>
          <w:rtl/>
        </w:rPr>
        <w:t>وعليه فهل المستفاد من المادة الاجتزاء بالفعل التسبيبي عن الفعل المباشري أم لا؟ ومن أجل تنقيح هذا البحث نذكر أربعة أمور مهمة في المقام</w:t>
      </w:r>
      <w:r w:rsidRPr="00DE709A">
        <w:rPr>
          <w:rFonts w:ascii="mylotus" w:hAnsi="mylotus"/>
          <w:sz w:val="32"/>
        </w:rPr>
        <w:t>:</w:t>
      </w:r>
    </w:p>
    <w:p w14:paraId="4BE2CAA8" w14:textId="77777777" w:rsidR="00DE709A" w:rsidRPr="00DE709A" w:rsidRDefault="00DE709A" w:rsidP="00DE709A">
      <w:pPr>
        <w:pStyle w:val="a"/>
        <w:bidi/>
        <w:rPr>
          <w:rFonts w:ascii="mylotus" w:hAnsi="mylotus"/>
          <w:sz w:val="32"/>
          <w:rtl/>
        </w:rPr>
      </w:pPr>
      <w:r w:rsidRPr="00DE709A">
        <w:rPr>
          <w:rFonts w:ascii="mylotus" w:hAnsi="mylotus"/>
          <w:b/>
          <w:bCs/>
          <w:sz w:val="32"/>
          <w:rtl/>
        </w:rPr>
        <w:t>الأمر الأول:</w:t>
      </w:r>
      <w:r w:rsidRPr="00DE709A">
        <w:rPr>
          <w:rFonts w:ascii="mylotus" w:hAnsi="mylotus"/>
          <w:sz w:val="32"/>
          <w:rtl/>
        </w:rPr>
        <w:t xml:space="preserve"> إن محل البحث في الفعل الذي يمكن إتيانه مباشرةً ويمكن إتيانه تسبيبا مثل رمي الجمار والحلق والذبح، فإن المكلف يستطيع أن يرمي الجمار بالمباشرة ويستطيع أن يرميه بالتسبيب، فالفعل الذي يمكن الإتيان به مباشرةً ويمكن تحقيقه تسبيبا هل يجتزأ فيه بالفعل التسبيبي عن الفعل المباشري؟</w:t>
      </w:r>
    </w:p>
    <w:p w14:paraId="568576F5" w14:textId="24815004" w:rsidR="00DE709A" w:rsidRPr="00DE709A" w:rsidRDefault="00DE709A" w:rsidP="00DE709A">
      <w:pPr>
        <w:pStyle w:val="a"/>
        <w:bidi/>
        <w:rPr>
          <w:rFonts w:ascii="mylotus" w:hAnsi="mylotus"/>
          <w:sz w:val="32"/>
          <w:rtl/>
        </w:rPr>
      </w:pPr>
      <w:r w:rsidRPr="00DE709A">
        <w:rPr>
          <w:rFonts w:ascii="mylotus" w:hAnsi="mylotus"/>
          <w:b/>
          <w:bCs/>
          <w:sz w:val="32"/>
          <w:rtl/>
        </w:rPr>
        <w:t>الأمر الثاني:</w:t>
      </w:r>
      <w:r w:rsidRPr="00DE709A">
        <w:rPr>
          <w:rFonts w:ascii="mylotus" w:hAnsi="mylotus"/>
          <w:sz w:val="32"/>
          <w:rtl/>
        </w:rPr>
        <w:t xml:space="preserve"> إن الأدلة على أنواع أربعة كما نبه عليه جملة من</w:t>
      </w:r>
      <w:r>
        <w:rPr>
          <w:rFonts w:ascii="mylotus" w:hAnsi="mylotus"/>
          <w:sz w:val="32"/>
          <w:rtl/>
        </w:rPr>
        <w:t xml:space="preserve"> </w:t>
      </w:r>
      <w:r w:rsidRPr="00DE709A">
        <w:rPr>
          <w:rFonts w:ascii="mylotus" w:hAnsi="mylotus"/>
          <w:sz w:val="32"/>
          <w:rtl/>
        </w:rPr>
        <w:t>الأعلام -</w:t>
      </w:r>
      <w:r>
        <w:rPr>
          <w:rFonts w:ascii="mylotus" w:hAnsi="mylotus"/>
          <w:sz w:val="32"/>
          <w:rtl/>
        </w:rPr>
        <w:t xml:space="preserve"> </w:t>
      </w:r>
      <w:r w:rsidRPr="00DE709A">
        <w:rPr>
          <w:rFonts w:ascii="mylotus" w:hAnsi="mylotus"/>
          <w:sz w:val="32"/>
          <w:rtl/>
        </w:rPr>
        <w:t>قدست أسرارهم</w:t>
      </w:r>
      <w:r w:rsidRPr="00DE709A">
        <w:rPr>
          <w:rFonts w:ascii="mylotus" w:hAnsi="mylotus"/>
          <w:sz w:val="32"/>
        </w:rPr>
        <w:t xml:space="preserve"> </w:t>
      </w:r>
      <w:r>
        <w:rPr>
          <w:rFonts w:ascii="mylotus" w:hAnsi="mylotus" w:hint="cs"/>
          <w:sz w:val="32"/>
          <w:rtl/>
        </w:rPr>
        <w:t>-:</w:t>
      </w:r>
    </w:p>
    <w:p w14:paraId="59316C5E" w14:textId="7CD9D4DC" w:rsidR="00DE709A" w:rsidRPr="00DE709A" w:rsidRDefault="00DE709A" w:rsidP="00DE709A">
      <w:pPr>
        <w:pStyle w:val="a"/>
        <w:bidi/>
        <w:rPr>
          <w:rFonts w:ascii="mylotus" w:hAnsi="mylotus"/>
          <w:sz w:val="32"/>
          <w:rtl/>
        </w:rPr>
      </w:pPr>
      <w:r w:rsidRPr="00DE709A">
        <w:rPr>
          <w:rFonts w:ascii="mylotus" w:hAnsi="mylotus"/>
          <w:b/>
          <w:bCs/>
          <w:sz w:val="32"/>
          <w:rtl/>
        </w:rPr>
        <w:t>النوع الأول:</w:t>
      </w:r>
      <w:r w:rsidRPr="00DE709A">
        <w:rPr>
          <w:rFonts w:ascii="mylotus" w:hAnsi="mylotus"/>
          <w:sz w:val="32"/>
          <w:rtl/>
        </w:rPr>
        <w:t xml:space="preserve"> ما كان المتعلق فيه</w:t>
      </w:r>
      <w:r>
        <w:rPr>
          <w:rFonts w:ascii="mylotus" w:hAnsi="mylotus"/>
          <w:sz w:val="32"/>
          <w:rtl/>
        </w:rPr>
        <w:t xml:space="preserve"> </w:t>
      </w:r>
      <w:r w:rsidRPr="00DE709A">
        <w:rPr>
          <w:rFonts w:ascii="mylotus" w:hAnsi="mylotus"/>
          <w:sz w:val="32"/>
          <w:rtl/>
        </w:rPr>
        <w:t>ظاهرا في الأعم من المباشرة والتسبيب، وهي الأفعال التي تعارف الناس على التسبيب إليها مثل الأمور الاعتبارية كالبيع والقبض والطلاق، فإن من المتعارف لدى الناس أن يقوموا بهذه الأعمال عن طريق التوكيل كما تتحقق بالمباشرة ، وكذلك بعض الأفعال التكوينية حيث يتعارف فيها التسبيب لفعل الغير</w:t>
      </w:r>
      <w:r>
        <w:rPr>
          <w:rFonts w:ascii="mylotus" w:hAnsi="mylotus"/>
          <w:sz w:val="32"/>
          <w:rtl/>
        </w:rPr>
        <w:t xml:space="preserve"> </w:t>
      </w:r>
      <w:r w:rsidRPr="00DE709A">
        <w:rPr>
          <w:rFonts w:ascii="mylotus" w:hAnsi="mylotus"/>
          <w:sz w:val="32"/>
          <w:rtl/>
        </w:rPr>
        <w:t>كالبناء والحلق والذبح، وبما أن التسبيب متعارف في هذا النوع من الأفعال كان التعارف موجبا لظهور المادة المتعلق للأمر في الأعم من المباشرة والتسبيب، فإذا قال: (إذا أردت التحلل من إحرامك فاحلق رأسك) أو (احلق رأسك) أو (اذبح هديك) فهو ظاهر في الأعم من المباشرة والتسبيب، وهذا من الموارد التي يكون فيها التعارف الخارجي منشأ للانصراف، حيث ينصرف العنوان لما هو الأعم من المباشرة والتسبيب بمقتضى التعارف الخارجي</w:t>
      </w:r>
      <w:r w:rsidRPr="00DE709A">
        <w:rPr>
          <w:rFonts w:ascii="mylotus" w:hAnsi="mylotus"/>
          <w:sz w:val="32"/>
        </w:rPr>
        <w:t>.</w:t>
      </w:r>
    </w:p>
    <w:p w14:paraId="58174A68" w14:textId="1A2EB9EE" w:rsidR="00DE709A" w:rsidRPr="00DE709A" w:rsidRDefault="00DE709A" w:rsidP="00DE709A">
      <w:pPr>
        <w:pStyle w:val="a"/>
        <w:bidi/>
        <w:rPr>
          <w:rFonts w:ascii="mylotus" w:hAnsi="mylotus"/>
          <w:sz w:val="32"/>
          <w:rtl/>
        </w:rPr>
      </w:pPr>
      <w:r w:rsidRPr="00DE709A">
        <w:rPr>
          <w:rFonts w:ascii="mylotus" w:hAnsi="mylotus"/>
          <w:b/>
          <w:bCs/>
          <w:sz w:val="32"/>
          <w:rtl/>
        </w:rPr>
        <w:t>النوع الثاني:</w:t>
      </w:r>
      <w:r w:rsidRPr="00DE709A">
        <w:rPr>
          <w:rFonts w:ascii="mylotus" w:hAnsi="mylotus"/>
          <w:sz w:val="32"/>
          <w:rtl/>
        </w:rPr>
        <w:t xml:space="preserve"> أن يستفاد من قرينة الإسناد أن المعتبر</w:t>
      </w:r>
      <w:r>
        <w:rPr>
          <w:rFonts w:ascii="mylotus" w:hAnsi="mylotus" w:hint="cs"/>
          <w:sz w:val="32"/>
          <w:rtl/>
        </w:rPr>
        <w:t xml:space="preserve"> </w:t>
      </w:r>
      <w:r w:rsidRPr="00DE709A">
        <w:rPr>
          <w:rFonts w:ascii="mylotus" w:hAnsi="mylotus"/>
          <w:sz w:val="32"/>
          <w:rtl/>
        </w:rPr>
        <w:t>هو المباشرة، كما في الأفعال الحلولية إذا أسندت إلى شخصٍ المخاطب، كما لو قال: (كل أو اشرب أو صل) فهو ظاهر في أن المطلوب هو الفعل عن مباشرة؛ لأنها أفعال حلولية قائمة بالجسم، فلا يصح نسبتها إلى غير من تحل فيه حتى مع التسبيب</w:t>
      </w:r>
      <w:r>
        <w:rPr>
          <w:rFonts w:ascii="mylotus" w:hAnsi="mylotus" w:hint="cs"/>
          <w:sz w:val="32"/>
          <w:rtl/>
        </w:rPr>
        <w:t>،</w:t>
      </w:r>
      <w:r w:rsidRPr="00DE709A">
        <w:rPr>
          <w:rFonts w:ascii="mylotus" w:hAnsi="mylotus"/>
          <w:sz w:val="32"/>
          <w:rtl/>
        </w:rPr>
        <w:t xml:space="preserve"> فلو استطاع الأب أن يسبب لولده أن يأكل فمع ذلك لا ينسب الأكل إلى الأب وإن استند حصوله لتسبيب الأب، وذلك لأن ظاهر الإسناد إلى المخاطب اعتبار المباشرة، وهذا</w:t>
      </w:r>
      <w:r>
        <w:rPr>
          <w:rFonts w:ascii="mylotus" w:hAnsi="mylotus"/>
          <w:sz w:val="32"/>
          <w:rtl/>
        </w:rPr>
        <w:t xml:space="preserve"> </w:t>
      </w:r>
      <w:r w:rsidRPr="00DE709A">
        <w:rPr>
          <w:rFonts w:ascii="mylotus" w:hAnsi="mylotus"/>
          <w:sz w:val="32"/>
          <w:rtl/>
        </w:rPr>
        <w:t>ليس محلا للبحث</w:t>
      </w:r>
      <w:r w:rsidRPr="00DE709A">
        <w:rPr>
          <w:rFonts w:ascii="mylotus" w:hAnsi="mylotus"/>
          <w:sz w:val="32"/>
        </w:rPr>
        <w:t>.</w:t>
      </w:r>
    </w:p>
    <w:p w14:paraId="108E6614" w14:textId="7E098228" w:rsidR="00DE709A" w:rsidRPr="00DE709A" w:rsidRDefault="00DE709A" w:rsidP="00DE709A">
      <w:pPr>
        <w:pStyle w:val="a"/>
        <w:bidi/>
        <w:rPr>
          <w:rFonts w:ascii="mylotus" w:hAnsi="mylotus"/>
          <w:sz w:val="32"/>
          <w:rtl/>
        </w:rPr>
      </w:pPr>
      <w:r w:rsidRPr="00DE709A">
        <w:rPr>
          <w:rFonts w:ascii="mylotus" w:hAnsi="mylotus"/>
          <w:b/>
          <w:bCs/>
          <w:sz w:val="32"/>
          <w:rtl/>
        </w:rPr>
        <w:t>النوع الثالث:</w:t>
      </w:r>
      <w:r w:rsidRPr="00DE709A">
        <w:rPr>
          <w:rFonts w:ascii="mylotus" w:hAnsi="mylotus"/>
          <w:sz w:val="32"/>
          <w:rtl/>
        </w:rPr>
        <w:t xml:space="preserve"> ما قامت القرينة الارتكازية على أن الغرض منه في طبيعي الفعل لا في المباشرة ولا في التسبيب، كما إذا قال المولى: (أزل النجاسة) و(ادفن الميت) و(علم القرآن)، فإن الظاهر بمقتضى المرتكزات العرفية أن الغرض من الأمر</w:t>
      </w:r>
      <w:r>
        <w:rPr>
          <w:rFonts w:ascii="mylotus" w:hAnsi="mylotus"/>
          <w:sz w:val="32"/>
          <w:rtl/>
        </w:rPr>
        <w:t xml:space="preserve"> </w:t>
      </w:r>
      <w:r w:rsidRPr="00DE709A">
        <w:rPr>
          <w:rFonts w:ascii="mylotus" w:hAnsi="mylotus"/>
          <w:sz w:val="32"/>
          <w:rtl/>
        </w:rPr>
        <w:t xml:space="preserve">في إزالة النجاسة من أي شخص كان وفي دفن الميت بأي نحو كان، فالمرتكزات </w:t>
      </w:r>
      <w:r w:rsidRPr="00DE709A">
        <w:rPr>
          <w:rFonts w:ascii="mylotus" w:hAnsi="mylotus"/>
          <w:sz w:val="32"/>
          <w:rtl/>
        </w:rPr>
        <w:lastRenderedPageBreak/>
        <w:t>العرفية هنا قرينة على ظهور المادة في طبيعي الفعل بحيث لو حصل الفعل من الغير تبرعا فقد أجزأ. وهذا ليس محل بحثنا أيضا</w:t>
      </w:r>
      <w:r w:rsidRPr="00DE709A">
        <w:rPr>
          <w:rFonts w:ascii="mylotus" w:hAnsi="mylotus"/>
          <w:sz w:val="32"/>
        </w:rPr>
        <w:t>.</w:t>
      </w:r>
    </w:p>
    <w:p w14:paraId="123E469C" w14:textId="36A90887" w:rsidR="00DE709A" w:rsidRPr="00DE709A" w:rsidRDefault="00DE709A" w:rsidP="00DE709A">
      <w:pPr>
        <w:pStyle w:val="a"/>
        <w:bidi/>
        <w:rPr>
          <w:rFonts w:ascii="mylotus" w:hAnsi="mylotus"/>
          <w:sz w:val="32"/>
          <w:rtl/>
        </w:rPr>
      </w:pPr>
      <w:r w:rsidRPr="00DE709A">
        <w:rPr>
          <w:rFonts w:ascii="mylotus" w:hAnsi="mylotus"/>
          <w:b/>
          <w:bCs/>
          <w:sz w:val="32"/>
          <w:rtl/>
        </w:rPr>
        <w:t>النوع الرابع</w:t>
      </w:r>
      <w:r w:rsidRPr="00DE709A">
        <w:rPr>
          <w:rFonts w:ascii="mylotus" w:hAnsi="mylotus"/>
          <w:sz w:val="32"/>
          <w:rtl/>
        </w:rPr>
        <w:t xml:space="preserve"> - وهو محل البحث -: أن لا يكون هناك قرينة موجبة للظهور في المباشرة أو الأعم فلا</w:t>
      </w:r>
      <w:r>
        <w:rPr>
          <w:rFonts w:ascii="mylotus" w:hAnsi="mylotus" w:hint="cs"/>
          <w:sz w:val="32"/>
          <w:rtl/>
        </w:rPr>
        <w:t xml:space="preserve"> </w:t>
      </w:r>
      <w:r w:rsidRPr="00DE709A">
        <w:rPr>
          <w:rFonts w:ascii="mylotus" w:hAnsi="mylotus"/>
          <w:sz w:val="32"/>
          <w:rtl/>
        </w:rPr>
        <w:t>قرينة على أن الغرض في طبيعي الفعل، وليس هناك تعارفٌ خارجي يوجب انصراف العنوان للأعم، ولا يكون الفعل من الأفعال الحلولية التي إذا أسندت لمخاطب كان ظاهر الإسناد فيها هو المباشرة، بل كان متعلق الأمر فعلا حلوليا لم يسند للمخاطب أو صدوريا، كما إذا قال: (ارم الجمرة) أو (اكتب الدرس) فهل الظاهر الأولي العرفي</w:t>
      </w:r>
      <w:r>
        <w:rPr>
          <w:rFonts w:ascii="mylotus" w:hAnsi="mylotus"/>
          <w:sz w:val="32"/>
          <w:rtl/>
        </w:rPr>
        <w:t xml:space="preserve"> </w:t>
      </w:r>
      <w:r w:rsidRPr="00DE709A">
        <w:rPr>
          <w:rFonts w:ascii="mylotus" w:hAnsi="mylotus"/>
          <w:sz w:val="32"/>
          <w:rtl/>
        </w:rPr>
        <w:t>منه خصوص المباشرة أم الأعم؟ ففي هذه الموارد</w:t>
      </w:r>
      <w:r>
        <w:rPr>
          <w:rFonts w:ascii="mylotus" w:hAnsi="mylotus"/>
          <w:sz w:val="32"/>
          <w:rtl/>
        </w:rPr>
        <w:t xml:space="preserve"> </w:t>
      </w:r>
      <w:r w:rsidRPr="00DE709A">
        <w:rPr>
          <w:rFonts w:ascii="mylotus" w:hAnsi="mylotus"/>
          <w:sz w:val="32"/>
          <w:rtl/>
        </w:rPr>
        <w:t>المحتملة للغرض في المباشرة وفي الأعم هل ظاهر المادة الأعم أم خصوص الفعل المباشري؟</w:t>
      </w:r>
    </w:p>
    <w:p w14:paraId="2D24CFF0" w14:textId="4A7F5720" w:rsidR="001F034F" w:rsidRPr="00022AE8" w:rsidRDefault="00E706A4" w:rsidP="00DE709A">
      <w:pPr>
        <w:pStyle w:val="a"/>
        <w:bidi/>
        <w:jc w:val="center"/>
        <w:rPr>
          <w:rFonts w:ascii="mylotus" w:hAnsi="mylotus"/>
          <w:b/>
          <w:bCs/>
          <w:sz w:val="32"/>
        </w:rPr>
      </w:pPr>
      <w:r w:rsidRPr="00022AE8">
        <w:rPr>
          <w:rFonts w:ascii="mylotus" w:hAnsi="mylotus" w:hint="cs"/>
          <w:b/>
          <w:bCs/>
          <w:sz w:val="32"/>
          <w:rtl/>
        </w:rPr>
        <w:t>والحمد لله رب العالمين</w:t>
      </w:r>
    </w:p>
    <w:p w14:paraId="20658458" w14:textId="77777777" w:rsidR="00B452F2" w:rsidRPr="00022AE8" w:rsidRDefault="00B452F2">
      <w:pPr>
        <w:pStyle w:val="a"/>
        <w:bidi/>
        <w:jc w:val="center"/>
        <w:rPr>
          <w:rFonts w:ascii="mylotus" w:hAnsi="mylotus"/>
          <w:b/>
          <w:bCs/>
          <w:sz w:val="32"/>
        </w:rPr>
      </w:pPr>
    </w:p>
    <w:sectPr w:rsidR="00B452F2" w:rsidRPr="00022AE8" w:rsidSect="007B13BD">
      <w:headerReference w:type="default" r:id="rId8"/>
      <w:footerReference w:type="default" r:id="rId9"/>
      <w:pgSz w:w="11906" w:h="16838"/>
      <w:pgMar w:top="1242" w:right="1077" w:bottom="851" w:left="1077" w:header="425" w:footer="340" w:gutter="0"/>
      <w:cols w:space="708"/>
      <w:bidi/>
      <w:rtlGutter/>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925A77" w14:textId="77777777" w:rsidR="00560ADE" w:rsidRDefault="00560ADE" w:rsidP="00A5027D">
      <w:pPr>
        <w:spacing w:line="240" w:lineRule="auto"/>
      </w:pPr>
      <w:r>
        <w:separator/>
      </w:r>
    </w:p>
  </w:endnote>
  <w:endnote w:type="continuationSeparator" w:id="0">
    <w:p w14:paraId="557881FC" w14:textId="77777777" w:rsidR="00560ADE" w:rsidRDefault="00560ADE" w:rsidP="00A50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almohsin">
    <w:altName w:val="Arial"/>
    <w:charset w:val="00"/>
    <w:family w:val="auto"/>
    <w:pitch w:val="variable"/>
    <w:sig w:usb0="00002007" w:usb1="80000000" w:usb2="00000008" w:usb3="00000000" w:csb0="00000043" w:csb1="00000000"/>
  </w:font>
  <w:font w:name="mylotus">
    <w:panose1 w:val="02000000000000000000"/>
    <w:charset w:val="00"/>
    <w:family w:val="auto"/>
    <w:pitch w:val="variable"/>
    <w:sig w:usb0="00002007" w:usb1="80000000" w:usb2="00000008" w:usb3="00000000" w:csb0="00000043"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FF0000"/>
        <w:sz w:val="24"/>
        <w:szCs w:val="24"/>
        <w:rtl/>
      </w:rPr>
      <w:id w:val="1007181803"/>
      <w:docPartObj>
        <w:docPartGallery w:val="Page Numbers (Bottom of Page)"/>
        <w:docPartUnique/>
      </w:docPartObj>
    </w:sdtPr>
    <w:sdtContent>
      <w:p w14:paraId="5CB150A1" w14:textId="77777777" w:rsidR="00C02079" w:rsidRDefault="00C02079" w:rsidP="007A1A5D">
        <w:pPr>
          <w:pStyle w:val="Footer"/>
          <w:jc w:val="center"/>
        </w:pPr>
        <w:r w:rsidRPr="00A1068D">
          <w:rPr>
            <w:rFonts w:ascii="mylotus" w:hAnsi="mylotus" w:cs="mylotus"/>
            <w:color w:val="FF0000"/>
            <w:sz w:val="24"/>
            <w:szCs w:val="24"/>
          </w:rPr>
          <w:fldChar w:fldCharType="begin"/>
        </w:r>
        <w:r w:rsidRPr="00A1068D">
          <w:rPr>
            <w:rFonts w:ascii="mylotus" w:hAnsi="mylotus" w:cs="mylotus"/>
            <w:color w:val="FF0000"/>
            <w:sz w:val="24"/>
            <w:szCs w:val="24"/>
          </w:rPr>
          <w:instrText>PAGE   \* MERGEFORMAT</w:instrText>
        </w:r>
        <w:r w:rsidRPr="00A1068D">
          <w:rPr>
            <w:rFonts w:ascii="mylotus" w:hAnsi="mylotus" w:cs="mylotus"/>
            <w:color w:val="FF0000"/>
            <w:sz w:val="24"/>
            <w:szCs w:val="24"/>
          </w:rPr>
          <w:fldChar w:fldCharType="separate"/>
        </w:r>
        <w:r w:rsidR="00883237" w:rsidRPr="00883237">
          <w:rPr>
            <w:rFonts w:ascii="mylotus" w:hAnsi="mylotus" w:cs="mylotus"/>
            <w:noProof/>
            <w:color w:val="FF0000"/>
            <w:sz w:val="24"/>
            <w:szCs w:val="24"/>
            <w:rtl/>
            <w:lang w:val="ar-SA"/>
          </w:rPr>
          <w:t>1</w:t>
        </w:r>
        <w:r w:rsidRPr="00A1068D">
          <w:rPr>
            <w:rFonts w:ascii="mylotus" w:hAnsi="mylotus" w:cs="mylotus"/>
            <w:color w:val="FF0000"/>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BFED67" w14:textId="77777777" w:rsidR="00560ADE" w:rsidRDefault="00560ADE" w:rsidP="00A5027D">
      <w:pPr>
        <w:spacing w:line="240" w:lineRule="auto"/>
      </w:pPr>
      <w:r>
        <w:separator/>
      </w:r>
    </w:p>
  </w:footnote>
  <w:footnote w:type="continuationSeparator" w:id="0">
    <w:p w14:paraId="3E84B630" w14:textId="77777777" w:rsidR="00560ADE" w:rsidRDefault="00560ADE" w:rsidP="00A5027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357DA" w14:textId="3058E48A" w:rsidR="00C02079" w:rsidRPr="00A92C34" w:rsidRDefault="00C02079" w:rsidP="00883237">
    <w:pPr>
      <w:pStyle w:val="Header"/>
      <w:tabs>
        <w:tab w:val="left" w:pos="4961"/>
      </w:tabs>
      <w:rPr>
        <w:rFonts w:ascii="mylotus" w:hAnsi="mylotus" w:cs="mylotus"/>
        <w:sz w:val="24"/>
        <w:szCs w:val="24"/>
        <w:rtl/>
        <w:lang w:val="en-US"/>
      </w:rPr>
    </w:pPr>
    <w:r w:rsidRPr="00A92C34">
      <w:rPr>
        <w:rFonts w:ascii="mylotus" w:hAnsi="mylotus" w:cs="mylotus"/>
        <w:noProof/>
        <w:color w:val="FF0000"/>
        <w:sz w:val="24"/>
        <w:szCs w:val="24"/>
        <w:rtl/>
        <w:lang w:val="en-US"/>
      </w:rPr>
      <mc:AlternateContent>
        <mc:Choice Requires="wps">
          <w:drawing>
            <wp:anchor distT="0" distB="0" distL="114300" distR="114300" simplePos="0" relativeHeight="251664896" behindDoc="0" locked="0" layoutInCell="1" allowOverlap="1" wp14:anchorId="2687E498" wp14:editId="465959DC">
              <wp:simplePos x="0" y="0"/>
              <wp:positionH relativeFrom="margin">
                <wp:posOffset>-1905</wp:posOffset>
              </wp:positionH>
              <wp:positionV relativeFrom="paragraph">
                <wp:posOffset>336178</wp:posOffset>
              </wp:positionV>
              <wp:extent cx="6191885" cy="0"/>
              <wp:effectExtent l="0" t="0" r="18415" b="19050"/>
              <wp:wrapNone/>
              <wp:docPr id="1" name="رابط مستقيم 1"/>
              <wp:cNvGraphicFramePr/>
              <a:graphic xmlns:a="http://schemas.openxmlformats.org/drawingml/2006/main">
                <a:graphicData uri="http://schemas.microsoft.com/office/word/2010/wordprocessingShape">
                  <wps:wsp>
                    <wps:cNvCnPr/>
                    <wps:spPr>
                      <a:xfrm flipH="1">
                        <a:off x="0" y="0"/>
                        <a:ext cx="61918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BDC05A0" id="رابط مستقيم 1" o:spid="_x0000_s1026" style="position:absolute;flip:x;z-index:251664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26.45pt" to="487.4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" strokecolor="#4579b8 [3044]">
              <w10:wrap anchorx="margin"/>
            </v:line>
          </w:pict>
        </mc:Fallback>
      </mc:AlternateContent>
    </w:r>
    <w:r w:rsidR="00B40E4E" w:rsidRPr="00B40E4E">
      <w:rPr>
        <w:rtl/>
      </w:rPr>
      <w:t xml:space="preserve"> </w:t>
    </w:r>
    <w:r w:rsidR="00B40E4E" w:rsidRPr="00B40E4E">
      <w:rPr>
        <w:rFonts w:ascii="mylotus" w:hAnsi="mylotus" w:cs="mylotus"/>
        <w:color w:val="FF0000"/>
        <w:sz w:val="24"/>
        <w:szCs w:val="24"/>
        <w:rtl/>
      </w:rPr>
      <w:t xml:space="preserve">بحث الأصول - مبحث الأوامر </w:t>
    </w:r>
    <w:r w:rsidR="00A145ED">
      <w:rPr>
        <w:rFonts w:ascii="mylotus" w:hAnsi="mylotus" w:cs="mylotus" w:hint="cs"/>
        <w:color w:val="FF0000"/>
        <w:sz w:val="24"/>
        <w:szCs w:val="24"/>
        <w:rtl/>
      </w:rPr>
      <w:t>25</w:t>
    </w:r>
    <w:r w:rsidR="00B40E4E" w:rsidRPr="00B40E4E">
      <w:rPr>
        <w:rFonts w:ascii="mylotus" w:hAnsi="mylotus" w:cs="mylotus"/>
        <w:color w:val="FF0000"/>
        <w:sz w:val="24"/>
        <w:szCs w:val="24"/>
        <w:rtl/>
      </w:rPr>
      <w:t xml:space="preserve"> - </w:t>
    </w:r>
    <w:r w:rsidR="002A44F3">
      <w:rPr>
        <w:rFonts w:ascii="Cambria" w:hAnsi="Cambria" w:cs="mylotus" w:hint="cs"/>
        <w:color w:val="FF0000"/>
        <w:sz w:val="24"/>
        <w:szCs w:val="24"/>
        <w:rtl/>
      </w:rPr>
      <w:t>الثلاثاء</w:t>
    </w:r>
    <w:r w:rsidR="00B40E4E" w:rsidRPr="00B40E4E">
      <w:rPr>
        <w:rFonts w:ascii="mylotus" w:hAnsi="mylotus" w:cs="mylotus"/>
        <w:color w:val="FF0000"/>
        <w:sz w:val="24"/>
        <w:szCs w:val="24"/>
        <w:rtl/>
      </w:rPr>
      <w:t xml:space="preserve"> </w:t>
    </w:r>
    <w:r w:rsidR="00E72B5F">
      <w:rPr>
        <w:rFonts w:ascii="mylotus" w:hAnsi="mylotus" w:cs="mylotus" w:hint="cs"/>
        <w:color w:val="FF0000"/>
        <w:sz w:val="24"/>
        <w:szCs w:val="24"/>
        <w:rtl/>
      </w:rPr>
      <w:t>1</w:t>
    </w:r>
    <w:r w:rsidR="002A44F3">
      <w:rPr>
        <w:rFonts w:ascii="mylotus" w:hAnsi="mylotus" w:cs="mylotus" w:hint="cs"/>
        <w:color w:val="FF0000"/>
        <w:sz w:val="24"/>
        <w:szCs w:val="24"/>
        <w:rtl/>
      </w:rPr>
      <w:t>5</w:t>
    </w:r>
    <w:r w:rsidR="00B40E4E" w:rsidRPr="00B40E4E">
      <w:rPr>
        <w:rFonts w:ascii="mylotus" w:hAnsi="mylotus" w:cs="mylotus"/>
        <w:color w:val="FF0000"/>
        <w:sz w:val="24"/>
        <w:szCs w:val="24"/>
        <w:rtl/>
      </w:rPr>
      <w:t xml:space="preserve"> ربيع الثاني ١٤٤٥ه</w:t>
    </w:r>
    <w:r w:rsidR="00B40E4E">
      <w:rPr>
        <w:rFonts w:ascii="Cambria" w:hAnsi="Cambria" w:cs="mylotus" w:hint="cs"/>
        <w:color w:val="FF0000"/>
        <w:sz w:val="24"/>
        <w:szCs w:val="24"/>
        <w:rtl/>
      </w:rPr>
      <w:t>ـ</w:t>
    </w:r>
    <w:r w:rsidR="00DE709A">
      <w:rPr>
        <w:rFonts w:ascii="mylotus" w:hAnsi="mylotus" w:cs="mylotus"/>
        <w:color w:val="FF0000"/>
        <w:sz w:val="24"/>
        <w:szCs w:val="24"/>
        <w:rtl/>
      </w:rPr>
      <w:t xml:space="preserve">  </w:t>
    </w:r>
    <w:r w:rsidR="00DE709A">
      <w:rPr>
        <w:rFonts w:ascii="mylotus" w:hAnsi="mylotus" w:cs="mylotus" w:hint="cs"/>
        <w:color w:val="FF0000"/>
        <w:sz w:val="24"/>
        <w:szCs w:val="24"/>
        <w:rtl/>
        <w:lang w:val="en-US"/>
      </w:rPr>
      <w:t xml:space="preserve">              </w:t>
    </w:r>
    <w:r w:rsidR="00C62022">
      <w:rPr>
        <w:rFonts w:ascii="mylotus" w:hAnsi="mylotus" w:cs="mylotus" w:hint="cs"/>
        <w:color w:val="FF0000"/>
        <w:sz w:val="24"/>
        <w:szCs w:val="24"/>
        <w:rtl/>
        <w:lang w:val="en-US"/>
      </w:rPr>
      <w:t xml:space="preserve"> </w:t>
    </w:r>
    <w:r w:rsidRPr="00A92C34">
      <w:rPr>
        <w:rFonts w:ascii="mylotus" w:hAnsi="mylotus" w:cs="mylotus"/>
        <w:color w:val="FF0000"/>
        <w:sz w:val="24"/>
        <w:szCs w:val="24"/>
        <w:rtl/>
        <w:lang w:val="en-US"/>
      </w:rPr>
      <w:t>الأستاذ السيد منير الخباز</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66BCA"/>
    <w:multiLevelType w:val="hybridMultilevel"/>
    <w:tmpl w:val="19403032"/>
    <w:lvl w:ilvl="0" w:tplc="B5B46ED4">
      <w:start w:val="1"/>
      <w:numFmt w:val="decimalFullWidth"/>
      <w:lvlText w:val="%1-"/>
      <w:lvlJc w:val="left"/>
      <w:pPr>
        <w:ind w:left="802" w:hanging="405"/>
      </w:pPr>
      <w:rPr>
        <w:rFonts w:hint="default"/>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num w:numId="1" w16cid:durableId="13741189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27D"/>
    <w:rsid w:val="00012B79"/>
    <w:rsid w:val="00014E51"/>
    <w:rsid w:val="00022AE8"/>
    <w:rsid w:val="0003362C"/>
    <w:rsid w:val="00052652"/>
    <w:rsid w:val="00054F91"/>
    <w:rsid w:val="000634C0"/>
    <w:rsid w:val="00075B8F"/>
    <w:rsid w:val="00085C01"/>
    <w:rsid w:val="000868A0"/>
    <w:rsid w:val="000C2631"/>
    <w:rsid w:val="000D4A6A"/>
    <w:rsid w:val="000D4EBC"/>
    <w:rsid w:val="000F4CBD"/>
    <w:rsid w:val="00102391"/>
    <w:rsid w:val="00123C32"/>
    <w:rsid w:val="00126819"/>
    <w:rsid w:val="0018506F"/>
    <w:rsid w:val="00190CDF"/>
    <w:rsid w:val="001B7AAB"/>
    <w:rsid w:val="001D2C21"/>
    <w:rsid w:val="001D40F0"/>
    <w:rsid w:val="001F034F"/>
    <w:rsid w:val="0024499D"/>
    <w:rsid w:val="00294D72"/>
    <w:rsid w:val="002A44F3"/>
    <w:rsid w:val="002A79FA"/>
    <w:rsid w:val="002B4E62"/>
    <w:rsid w:val="002C3704"/>
    <w:rsid w:val="002D0D9E"/>
    <w:rsid w:val="00301C9E"/>
    <w:rsid w:val="00311FF3"/>
    <w:rsid w:val="00315396"/>
    <w:rsid w:val="00331615"/>
    <w:rsid w:val="00332D8F"/>
    <w:rsid w:val="00347A40"/>
    <w:rsid w:val="0035443E"/>
    <w:rsid w:val="00360836"/>
    <w:rsid w:val="00363B6D"/>
    <w:rsid w:val="00371C9A"/>
    <w:rsid w:val="0037567A"/>
    <w:rsid w:val="00384679"/>
    <w:rsid w:val="003A4C77"/>
    <w:rsid w:val="003C237F"/>
    <w:rsid w:val="003C5C22"/>
    <w:rsid w:val="003E35A5"/>
    <w:rsid w:val="00403764"/>
    <w:rsid w:val="00426274"/>
    <w:rsid w:val="00434EF0"/>
    <w:rsid w:val="00444116"/>
    <w:rsid w:val="00465843"/>
    <w:rsid w:val="00467CA0"/>
    <w:rsid w:val="00487DED"/>
    <w:rsid w:val="004B03A0"/>
    <w:rsid w:val="004B14A5"/>
    <w:rsid w:val="004B76A6"/>
    <w:rsid w:val="004C2054"/>
    <w:rsid w:val="004D6F7D"/>
    <w:rsid w:val="004D784B"/>
    <w:rsid w:val="004E5A62"/>
    <w:rsid w:val="0050790C"/>
    <w:rsid w:val="00551AA0"/>
    <w:rsid w:val="00560ADE"/>
    <w:rsid w:val="005A573C"/>
    <w:rsid w:val="005B2D45"/>
    <w:rsid w:val="005D1880"/>
    <w:rsid w:val="005E3BEE"/>
    <w:rsid w:val="005F0F6F"/>
    <w:rsid w:val="005F70FF"/>
    <w:rsid w:val="0060278A"/>
    <w:rsid w:val="00612084"/>
    <w:rsid w:val="006254BE"/>
    <w:rsid w:val="00633203"/>
    <w:rsid w:val="00646A5D"/>
    <w:rsid w:val="00652CA2"/>
    <w:rsid w:val="00655432"/>
    <w:rsid w:val="00694C4A"/>
    <w:rsid w:val="006C31F4"/>
    <w:rsid w:val="006C7340"/>
    <w:rsid w:val="006D6E7E"/>
    <w:rsid w:val="006E1B18"/>
    <w:rsid w:val="006F6650"/>
    <w:rsid w:val="00701077"/>
    <w:rsid w:val="00712B3D"/>
    <w:rsid w:val="0072068E"/>
    <w:rsid w:val="007237A9"/>
    <w:rsid w:val="00726D62"/>
    <w:rsid w:val="007310D4"/>
    <w:rsid w:val="00746241"/>
    <w:rsid w:val="00753B14"/>
    <w:rsid w:val="0076539C"/>
    <w:rsid w:val="00765914"/>
    <w:rsid w:val="00781258"/>
    <w:rsid w:val="00791C2B"/>
    <w:rsid w:val="007926E8"/>
    <w:rsid w:val="007A1A5D"/>
    <w:rsid w:val="007A1E70"/>
    <w:rsid w:val="007A4179"/>
    <w:rsid w:val="007A59E2"/>
    <w:rsid w:val="007B13BD"/>
    <w:rsid w:val="007B25DF"/>
    <w:rsid w:val="007D0826"/>
    <w:rsid w:val="007D2646"/>
    <w:rsid w:val="007D3C58"/>
    <w:rsid w:val="007F2A1F"/>
    <w:rsid w:val="00800FEA"/>
    <w:rsid w:val="00801949"/>
    <w:rsid w:val="0082217B"/>
    <w:rsid w:val="00836BC1"/>
    <w:rsid w:val="00850894"/>
    <w:rsid w:val="0085651E"/>
    <w:rsid w:val="00883237"/>
    <w:rsid w:val="00886478"/>
    <w:rsid w:val="00895528"/>
    <w:rsid w:val="008B2BF2"/>
    <w:rsid w:val="008B5A1B"/>
    <w:rsid w:val="008B6C9C"/>
    <w:rsid w:val="008C18BC"/>
    <w:rsid w:val="008C35DB"/>
    <w:rsid w:val="008D0522"/>
    <w:rsid w:val="008D1AF3"/>
    <w:rsid w:val="008E10C9"/>
    <w:rsid w:val="008F31CD"/>
    <w:rsid w:val="008F4D29"/>
    <w:rsid w:val="008F6132"/>
    <w:rsid w:val="00901560"/>
    <w:rsid w:val="009153E5"/>
    <w:rsid w:val="009212A4"/>
    <w:rsid w:val="0093447B"/>
    <w:rsid w:val="00944A95"/>
    <w:rsid w:val="00950CF6"/>
    <w:rsid w:val="00952DCA"/>
    <w:rsid w:val="0095312D"/>
    <w:rsid w:val="009633D4"/>
    <w:rsid w:val="00963C62"/>
    <w:rsid w:val="00964B73"/>
    <w:rsid w:val="0096623A"/>
    <w:rsid w:val="00975EAB"/>
    <w:rsid w:val="0097647D"/>
    <w:rsid w:val="0098687C"/>
    <w:rsid w:val="009954B5"/>
    <w:rsid w:val="009B1550"/>
    <w:rsid w:val="009C701E"/>
    <w:rsid w:val="009E5EBF"/>
    <w:rsid w:val="009E651D"/>
    <w:rsid w:val="009F4BE3"/>
    <w:rsid w:val="00A04BE3"/>
    <w:rsid w:val="00A06115"/>
    <w:rsid w:val="00A1068D"/>
    <w:rsid w:val="00A145ED"/>
    <w:rsid w:val="00A43232"/>
    <w:rsid w:val="00A500BB"/>
    <w:rsid w:val="00A5027D"/>
    <w:rsid w:val="00A53FEA"/>
    <w:rsid w:val="00A579B7"/>
    <w:rsid w:val="00A66546"/>
    <w:rsid w:val="00A92C34"/>
    <w:rsid w:val="00AA34B8"/>
    <w:rsid w:val="00AB0BF9"/>
    <w:rsid w:val="00AB2506"/>
    <w:rsid w:val="00AC2737"/>
    <w:rsid w:val="00AD07B8"/>
    <w:rsid w:val="00AF0B8A"/>
    <w:rsid w:val="00AF658D"/>
    <w:rsid w:val="00B05107"/>
    <w:rsid w:val="00B05627"/>
    <w:rsid w:val="00B15C12"/>
    <w:rsid w:val="00B24C0B"/>
    <w:rsid w:val="00B3403C"/>
    <w:rsid w:val="00B40E4E"/>
    <w:rsid w:val="00B42E19"/>
    <w:rsid w:val="00B452F2"/>
    <w:rsid w:val="00B4551F"/>
    <w:rsid w:val="00B65C14"/>
    <w:rsid w:val="00B70A67"/>
    <w:rsid w:val="00B77EC8"/>
    <w:rsid w:val="00B87CBD"/>
    <w:rsid w:val="00BA5294"/>
    <w:rsid w:val="00BA53AA"/>
    <w:rsid w:val="00BB1CD3"/>
    <w:rsid w:val="00BF3247"/>
    <w:rsid w:val="00C017CB"/>
    <w:rsid w:val="00C02079"/>
    <w:rsid w:val="00C07173"/>
    <w:rsid w:val="00C172E9"/>
    <w:rsid w:val="00C17433"/>
    <w:rsid w:val="00C21956"/>
    <w:rsid w:val="00C22646"/>
    <w:rsid w:val="00C3133B"/>
    <w:rsid w:val="00C52CA3"/>
    <w:rsid w:val="00C57BF1"/>
    <w:rsid w:val="00C62022"/>
    <w:rsid w:val="00C81347"/>
    <w:rsid w:val="00C83005"/>
    <w:rsid w:val="00C9737F"/>
    <w:rsid w:val="00CB1F7A"/>
    <w:rsid w:val="00CC72D7"/>
    <w:rsid w:val="00CD4C3D"/>
    <w:rsid w:val="00CE5899"/>
    <w:rsid w:val="00CF60B7"/>
    <w:rsid w:val="00D05950"/>
    <w:rsid w:val="00D15D11"/>
    <w:rsid w:val="00D270A0"/>
    <w:rsid w:val="00D31E52"/>
    <w:rsid w:val="00D52B2A"/>
    <w:rsid w:val="00D65C7A"/>
    <w:rsid w:val="00D74C58"/>
    <w:rsid w:val="00D7673B"/>
    <w:rsid w:val="00D83D98"/>
    <w:rsid w:val="00D97468"/>
    <w:rsid w:val="00DA2EF0"/>
    <w:rsid w:val="00DA7AC6"/>
    <w:rsid w:val="00DB1F3D"/>
    <w:rsid w:val="00DE709A"/>
    <w:rsid w:val="00DF0653"/>
    <w:rsid w:val="00DF0E53"/>
    <w:rsid w:val="00DF2B2F"/>
    <w:rsid w:val="00E03E05"/>
    <w:rsid w:val="00E20D9C"/>
    <w:rsid w:val="00E37303"/>
    <w:rsid w:val="00E464AD"/>
    <w:rsid w:val="00E50090"/>
    <w:rsid w:val="00E5678F"/>
    <w:rsid w:val="00E62F33"/>
    <w:rsid w:val="00E63867"/>
    <w:rsid w:val="00E706A4"/>
    <w:rsid w:val="00E72B5F"/>
    <w:rsid w:val="00E73CE3"/>
    <w:rsid w:val="00E91C1E"/>
    <w:rsid w:val="00E925D2"/>
    <w:rsid w:val="00EB09AE"/>
    <w:rsid w:val="00EB313E"/>
    <w:rsid w:val="00EC0DCA"/>
    <w:rsid w:val="00EC2D5F"/>
    <w:rsid w:val="00EC38C4"/>
    <w:rsid w:val="00EC7F35"/>
    <w:rsid w:val="00ED27C3"/>
    <w:rsid w:val="00ED7012"/>
    <w:rsid w:val="00EE6CDD"/>
    <w:rsid w:val="00EE7854"/>
    <w:rsid w:val="00EF21C3"/>
    <w:rsid w:val="00EF4A02"/>
    <w:rsid w:val="00EF4E74"/>
    <w:rsid w:val="00F03EE5"/>
    <w:rsid w:val="00F102E2"/>
    <w:rsid w:val="00F13ED3"/>
    <w:rsid w:val="00F2232F"/>
    <w:rsid w:val="00F24EC7"/>
    <w:rsid w:val="00F52DC7"/>
    <w:rsid w:val="00F6536F"/>
    <w:rsid w:val="00F80B34"/>
    <w:rsid w:val="00F83D13"/>
    <w:rsid w:val="00F9000E"/>
    <w:rsid w:val="00F97A27"/>
    <w:rsid w:val="00FA4DD6"/>
    <w:rsid w:val="00FB2461"/>
    <w:rsid w:val="00FB61E8"/>
    <w:rsid w:val="00FE4612"/>
    <w:rsid w:val="00FF1A2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D66257"/>
  <w15:docId w15:val="{AD2F95FC-BD0D-4D58-97AD-636B37652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Heading1">
    <w:name w:val="heading 1"/>
    <w:aliases w:val="- -"/>
    <w:basedOn w:val="a"/>
    <w:link w:val="Heading1Char"/>
    <w:uiPriority w:val="9"/>
    <w:qFormat/>
    <w:rsid w:val="00CB1F7A"/>
    <w:pPr>
      <w:outlineLvl w:val="0"/>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الحاشية"/>
    <w:basedOn w:val="FootnoteText"/>
    <w:uiPriority w:val="1"/>
    <w:qFormat/>
    <w:rsid w:val="00CB1F7A"/>
    <w:pPr>
      <w:spacing w:line="240" w:lineRule="auto"/>
      <w:ind w:firstLine="0"/>
    </w:pPr>
    <w:rPr>
      <w:sz w:val="22"/>
      <w:szCs w:val="22"/>
    </w:rPr>
  </w:style>
  <w:style w:type="character" w:customStyle="1" w:styleId="Heading1Char">
    <w:name w:val="Heading 1 Char"/>
    <w:aliases w:val="- - Char"/>
    <w:basedOn w:val="DefaultParagraphFont"/>
    <w:link w:val="Heading1"/>
    <w:uiPriority w:val="9"/>
    <w:rsid w:val="00CB1F7A"/>
    <w:rPr>
      <w:rFonts w:ascii="almohsin" w:hAnsi="almohsin" w:cs="almohsin"/>
      <w:sz w:val="22"/>
      <w:szCs w:val="22"/>
    </w:rPr>
  </w:style>
  <w:style w:type="paragraph" w:styleId="FootnoteText">
    <w:name w:val="footnote text"/>
    <w:basedOn w:val="Normal"/>
    <w:link w:val="FootnoteText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FootnoteTextChar">
    <w:name w:val="Footnote Text Char"/>
    <w:basedOn w:val="DefaultParagraphFont"/>
    <w:link w:val="FootnoteText"/>
    <w:uiPriority w:val="99"/>
    <w:semiHidden/>
    <w:rsid w:val="003C5C22"/>
    <w:rPr>
      <w:rFonts w:ascii="almohsin" w:hAnsi="almohsin" w:cs="almohsin"/>
    </w:rPr>
  </w:style>
  <w:style w:type="character" w:customStyle="1" w:styleId="Char">
    <w:name w:val="المحسن Char"/>
    <w:basedOn w:val="DefaultParagraphFont"/>
    <w:rsid w:val="003A4C77"/>
    <w:rPr>
      <w:rFonts w:ascii="almohsin" w:hAnsi="almohsin" w:cs="almohsin"/>
      <w:sz w:val="30"/>
      <w:szCs w:val="30"/>
    </w:rPr>
  </w:style>
  <w:style w:type="paragraph" w:customStyle="1" w:styleId="a0">
    <w:name w:val="عنوان باب"/>
    <w:basedOn w:val="Normal"/>
    <w:link w:val="Char0"/>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0">
    <w:name w:val="عنوان باب Char"/>
    <w:basedOn w:val="DefaultParagraphFont"/>
    <w:link w:val="a0"/>
    <w:rsid w:val="00FB61E8"/>
    <w:rPr>
      <w:rFonts w:ascii="almohsin" w:hAnsi="almohsin" w:cs="mylotus"/>
      <w:b/>
      <w:bCs/>
      <w:sz w:val="50"/>
      <w:szCs w:val="50"/>
    </w:rPr>
  </w:style>
  <w:style w:type="paragraph" w:customStyle="1" w:styleId="a">
    <w:name w:val="المتن"/>
    <w:basedOn w:val="Normal"/>
    <w:link w:val="Char1"/>
    <w:qFormat/>
    <w:rsid w:val="00964B73"/>
    <w:pPr>
      <w:bidi w:val="0"/>
      <w:spacing w:line="228" w:lineRule="auto"/>
      <w:ind w:firstLine="397"/>
    </w:pPr>
    <w:rPr>
      <w:rFonts w:ascii="almohsin" w:eastAsia="Times New Roman" w:hAnsi="almohsin" w:cs="mylotus"/>
      <w:sz w:val="30"/>
      <w:lang w:val="en-US"/>
    </w:rPr>
  </w:style>
  <w:style w:type="character" w:customStyle="1" w:styleId="Char1">
    <w:name w:val="المتن Char"/>
    <w:basedOn w:val="DefaultParagraphFont"/>
    <w:link w:val="a"/>
    <w:rsid w:val="00964B73"/>
    <w:rPr>
      <w:rFonts w:ascii="almohsin" w:hAnsi="almohsin" w:cs="mylotus"/>
      <w:sz w:val="30"/>
      <w:szCs w:val="32"/>
    </w:rPr>
  </w:style>
  <w:style w:type="paragraph" w:customStyle="1" w:styleId="a1">
    <w:name w:val="عنوان رئيس"/>
    <w:basedOn w:val="a"/>
    <w:link w:val="Char2"/>
    <w:qFormat/>
    <w:rsid w:val="00FB61E8"/>
    <w:pPr>
      <w:ind w:firstLine="0"/>
      <w:jc w:val="center"/>
    </w:pPr>
    <w:rPr>
      <w:b/>
      <w:bCs/>
      <w:sz w:val="40"/>
      <w:szCs w:val="40"/>
    </w:rPr>
  </w:style>
  <w:style w:type="character" w:customStyle="1" w:styleId="Char2">
    <w:name w:val="عنوان رئيس Char"/>
    <w:basedOn w:val="Char1"/>
    <w:link w:val="a1"/>
    <w:rsid w:val="00FB61E8"/>
    <w:rPr>
      <w:rFonts w:ascii="almohsin" w:hAnsi="almohsin" w:cs="mylotus"/>
      <w:b/>
      <w:bCs/>
      <w:sz w:val="40"/>
      <w:szCs w:val="40"/>
    </w:rPr>
  </w:style>
  <w:style w:type="paragraph" w:customStyle="1" w:styleId="a2">
    <w:name w:val="عنوان فرع"/>
    <w:basedOn w:val="a1"/>
    <w:link w:val="Char3"/>
    <w:qFormat/>
    <w:rsid w:val="00CB1F7A"/>
  </w:style>
  <w:style w:type="character" w:customStyle="1" w:styleId="Char3">
    <w:name w:val="عنوان فرع Char"/>
    <w:basedOn w:val="Char2"/>
    <w:link w:val="a2"/>
    <w:rsid w:val="00CB1F7A"/>
    <w:rPr>
      <w:rFonts w:ascii="almohsin" w:hAnsi="almohsin" w:cs="almohsin"/>
      <w:b/>
      <w:bCs/>
      <w:sz w:val="40"/>
      <w:szCs w:val="40"/>
    </w:rPr>
  </w:style>
  <w:style w:type="paragraph" w:styleId="Header">
    <w:name w:val="header"/>
    <w:aliases w:val="رأس صفحة"/>
    <w:basedOn w:val="Normal"/>
    <w:link w:val="HeaderChar"/>
    <w:uiPriority w:val="99"/>
    <w:unhideWhenUsed/>
    <w:rsid w:val="00A5027D"/>
    <w:pPr>
      <w:tabs>
        <w:tab w:val="center" w:pos="4513"/>
        <w:tab w:val="right" w:pos="9026"/>
      </w:tabs>
      <w:spacing w:line="240" w:lineRule="auto"/>
    </w:pPr>
  </w:style>
  <w:style w:type="character" w:customStyle="1" w:styleId="HeaderChar">
    <w:name w:val="Header Char"/>
    <w:aliases w:val="رأس صفحة Char"/>
    <w:basedOn w:val="DefaultParagraphFont"/>
    <w:link w:val="Header"/>
    <w:uiPriority w:val="99"/>
    <w:rsid w:val="00A5027D"/>
    <w:rPr>
      <w:rFonts w:ascii="Simplified Arabic" w:eastAsia="Calibri" w:hAnsi="Simplified Arabic" w:cs="Simplified Arabic"/>
      <w:sz w:val="32"/>
      <w:szCs w:val="32"/>
      <w:lang w:val="en"/>
    </w:rPr>
  </w:style>
  <w:style w:type="paragraph" w:styleId="Footer">
    <w:name w:val="footer"/>
    <w:basedOn w:val="Normal"/>
    <w:link w:val="FooterChar"/>
    <w:uiPriority w:val="99"/>
    <w:unhideWhenUsed/>
    <w:rsid w:val="00A5027D"/>
    <w:pPr>
      <w:tabs>
        <w:tab w:val="center" w:pos="4513"/>
        <w:tab w:val="right" w:pos="9026"/>
      </w:tabs>
      <w:spacing w:line="240" w:lineRule="auto"/>
    </w:pPr>
  </w:style>
  <w:style w:type="character" w:customStyle="1" w:styleId="FooterChar">
    <w:name w:val="Footer Char"/>
    <w:basedOn w:val="DefaultParagraphFont"/>
    <w:link w:val="Footer"/>
    <w:uiPriority w:val="99"/>
    <w:rsid w:val="00A5027D"/>
    <w:rPr>
      <w:rFonts w:ascii="Simplified Arabic" w:eastAsia="Calibri" w:hAnsi="Simplified Arabic" w:cs="Simplified Arabic"/>
      <w:sz w:val="32"/>
      <w:szCs w:val="32"/>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qeel\Desktop\&#1602;&#1575;&#1604;&#1576;%20A4.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262DF9-27D8-47E2-86D4-D41136287B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A4</Template>
  <TotalTime>0</TotalTime>
  <Pages>4</Pages>
  <Words>1047</Words>
  <Characters>5968</Characters>
  <Application>Microsoft Office Word</Application>
  <DocSecurity>0</DocSecurity>
  <Lines>49</Lines>
  <Paragraphs>14</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Enjoy My Fine Releases.</Company>
  <LinksUpToDate>false</LinksUpToDate>
  <CharactersWithSpaces>7001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عقيل آل انتيف</dc:creator>
  <cp:lastModifiedBy>hadi al khunaizi</cp:lastModifiedBy>
  <cp:revision>2</cp:revision>
  <cp:lastPrinted>2022-11-19T18:59:00Z</cp:lastPrinted>
  <dcterms:created xsi:type="dcterms:W3CDTF">2023-10-31T17:14:00Z</dcterms:created>
  <dcterms:modified xsi:type="dcterms:W3CDTF">2023-10-31T17:14:00Z</dcterms:modified>
</cp:coreProperties>
</file>