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457EBD" w14:textId="77777777" w:rsidR="00444116" w:rsidRDefault="00AC2737" w:rsidP="00EE6CDD">
      <w:pPr>
        <w:pStyle w:val="a"/>
        <w:bidi/>
        <w:jc w:val="center"/>
        <w:rPr>
          <w:rFonts w:ascii="mylotus" w:hAnsi="mylotus"/>
          <w:b/>
          <w:bCs/>
          <w:sz w:val="32"/>
          <w:rtl/>
        </w:rPr>
      </w:pPr>
      <w:r w:rsidRPr="00444116">
        <w:rPr>
          <w:rFonts w:ascii="mylotus" w:hAnsi="mylotus"/>
          <w:b/>
          <w:bCs/>
          <w:sz w:val="32"/>
          <w:rtl/>
        </w:rPr>
        <w:t>بسم الله الرحمن الرحيم</w:t>
      </w:r>
    </w:p>
    <w:p w14:paraId="141C04A3" w14:textId="77777777" w:rsidR="00444116" w:rsidRDefault="00AC2737" w:rsidP="00EE6CDD">
      <w:pPr>
        <w:pStyle w:val="a"/>
        <w:bidi/>
        <w:jc w:val="center"/>
        <w:rPr>
          <w:rFonts w:ascii="mylotus" w:hAnsi="mylotus"/>
          <w:b/>
          <w:bCs/>
          <w:sz w:val="32"/>
          <w:rtl/>
        </w:rPr>
      </w:pPr>
      <w:r w:rsidRPr="00444116">
        <w:rPr>
          <w:rFonts w:ascii="mylotus" w:hAnsi="mylotus"/>
          <w:b/>
          <w:bCs/>
          <w:sz w:val="32"/>
          <w:rtl/>
        </w:rPr>
        <w:t>والصلاة والسلام على أشرف الأنبياء والمرسلين، محمد وآله الطيبين الطاهرين</w:t>
      </w:r>
    </w:p>
    <w:p w14:paraId="11EA8AE1" w14:textId="7A028413" w:rsidR="00444116" w:rsidRDefault="00AC2737" w:rsidP="00EE6CDD">
      <w:pPr>
        <w:pStyle w:val="a"/>
        <w:bidi/>
        <w:jc w:val="center"/>
        <w:rPr>
          <w:rFonts w:ascii="mylotus" w:hAnsi="mylotus"/>
          <w:sz w:val="32"/>
          <w:rtl/>
        </w:rPr>
      </w:pPr>
      <w:r w:rsidRPr="00444116">
        <w:rPr>
          <w:rFonts w:ascii="mylotus" w:hAnsi="mylotus"/>
          <w:b/>
          <w:bCs/>
          <w:sz w:val="32"/>
          <w:rtl/>
        </w:rPr>
        <w:t>واللعن الدائم على أعدائهم أجمعين إلى قيام يوم الدين</w:t>
      </w:r>
    </w:p>
    <w:p w14:paraId="72595B22" w14:textId="49C9DC86" w:rsidR="00B96082" w:rsidRPr="00B96082" w:rsidRDefault="00B96082" w:rsidP="00B96082">
      <w:pPr>
        <w:pStyle w:val="a"/>
        <w:bidi/>
        <w:rPr>
          <w:rFonts w:ascii="mylotus" w:hAnsi="mylotus"/>
          <w:b/>
          <w:bCs/>
          <w:sz w:val="32"/>
          <w:rtl/>
        </w:rPr>
      </w:pPr>
      <w:r w:rsidRPr="00B96082">
        <w:rPr>
          <w:rFonts w:ascii="mylotus" w:hAnsi="mylotus"/>
          <w:b/>
          <w:bCs/>
          <w:sz w:val="32"/>
          <w:rtl/>
        </w:rPr>
        <w:t>الأمر الثالث: في تنقيح ظهور المادة :</w:t>
      </w:r>
      <w:r>
        <w:rPr>
          <w:rFonts w:ascii="mylotus" w:hAnsi="mylotus"/>
          <w:b/>
          <w:bCs/>
          <w:sz w:val="32"/>
          <w:rtl/>
        </w:rPr>
        <w:t xml:space="preserve"> </w:t>
      </w:r>
      <w:r w:rsidRPr="00B96082">
        <w:rPr>
          <w:rFonts w:ascii="mylotus" w:hAnsi="mylotus"/>
          <w:b/>
          <w:bCs/>
          <w:sz w:val="32"/>
          <w:rtl/>
        </w:rPr>
        <w:t>هل أن متعلق الأمر- المادة - ظاهر في المباشرة أو في مطلق الفعل المستند أو في الفعل المستند على نحو الانتساب أو هناك تفصيل؟</w:t>
      </w:r>
    </w:p>
    <w:p w14:paraId="690A0C6D" w14:textId="71E3A726" w:rsidR="00B96082" w:rsidRPr="00B96082" w:rsidRDefault="00B96082" w:rsidP="00B96082">
      <w:pPr>
        <w:pStyle w:val="a"/>
        <w:bidi/>
        <w:rPr>
          <w:rFonts w:ascii="mylotus" w:hAnsi="mylotus"/>
          <w:sz w:val="32"/>
          <w:rtl/>
        </w:rPr>
      </w:pPr>
      <w:r w:rsidRPr="00B96082">
        <w:rPr>
          <w:rFonts w:ascii="mylotus" w:hAnsi="mylotus"/>
          <w:sz w:val="32"/>
          <w:rtl/>
        </w:rPr>
        <w:t>وينبغي أن يعلم في المقام أن هناك فرقا بين تنقيح ظهور المادة وبين تنقيح ما هو مقتضى الإطلاق، إذ تارةً يبحث عن ظهور المادة - أي: ظهور المتعلق - كما إذا قال المولى: ( بتحنيط الميت) أو (أخرج زكاة الفطرة) في المباشرة أو في مطلق التسبيب؟ وتارة يبحث عن مقتضى الإطلاق في متعلق الأمر إن لم يكن ظاهرا في شيء منهما ، بأن مقتضى الإطلاق فيه هو الفعل المباشري أم</w:t>
      </w:r>
      <w:r>
        <w:rPr>
          <w:rFonts w:ascii="mylotus" w:hAnsi="mylotus"/>
          <w:sz w:val="32"/>
          <w:rtl/>
        </w:rPr>
        <w:t xml:space="preserve"> </w:t>
      </w:r>
      <w:r w:rsidRPr="00B96082">
        <w:rPr>
          <w:rFonts w:ascii="mylotus" w:hAnsi="mylotus"/>
          <w:sz w:val="32"/>
          <w:rtl/>
        </w:rPr>
        <w:t>الفعل الأعم؟</w:t>
      </w:r>
      <w:r w:rsidRPr="00B96082">
        <w:rPr>
          <w:rFonts w:ascii="mylotus" w:hAnsi="mylotus"/>
          <w:sz w:val="32"/>
        </w:rPr>
        <w:t>.</w:t>
      </w:r>
    </w:p>
    <w:p w14:paraId="418BB326" w14:textId="4C757CAF" w:rsidR="00B96082" w:rsidRPr="00B96082" w:rsidRDefault="00B96082" w:rsidP="00B96082">
      <w:pPr>
        <w:pStyle w:val="a"/>
        <w:bidi/>
        <w:rPr>
          <w:rFonts w:ascii="mylotus" w:hAnsi="mylotus"/>
          <w:sz w:val="32"/>
          <w:rtl/>
        </w:rPr>
      </w:pPr>
      <w:r w:rsidRPr="00B96082">
        <w:rPr>
          <w:rFonts w:ascii="mylotus" w:hAnsi="mylotus"/>
          <w:sz w:val="32"/>
          <w:rtl/>
        </w:rPr>
        <w:t>والبحث الأمر الثالث عن</w:t>
      </w:r>
      <w:r>
        <w:rPr>
          <w:rFonts w:ascii="mylotus" w:hAnsi="mylotus"/>
          <w:sz w:val="32"/>
          <w:rtl/>
        </w:rPr>
        <w:t xml:space="preserve"> </w:t>
      </w:r>
      <w:r w:rsidRPr="00B96082">
        <w:rPr>
          <w:rFonts w:ascii="mylotus" w:hAnsi="mylotus"/>
          <w:sz w:val="32"/>
          <w:rtl/>
        </w:rPr>
        <w:t>ظهور مادة الأمر، وهنا عدة أنظار</w:t>
      </w:r>
      <w:r w:rsidRPr="00B96082">
        <w:rPr>
          <w:rFonts w:ascii="mylotus" w:hAnsi="mylotus"/>
          <w:sz w:val="32"/>
        </w:rPr>
        <w:t>:</w:t>
      </w:r>
    </w:p>
    <w:p w14:paraId="276494D2" w14:textId="0CB1A548" w:rsidR="00B96082" w:rsidRPr="00B96082" w:rsidRDefault="00B96082" w:rsidP="00B96082">
      <w:pPr>
        <w:pStyle w:val="a"/>
        <w:bidi/>
        <w:rPr>
          <w:rFonts w:ascii="mylotus" w:hAnsi="mylotus"/>
          <w:sz w:val="32"/>
          <w:rtl/>
        </w:rPr>
      </w:pPr>
      <w:r w:rsidRPr="00B96082">
        <w:rPr>
          <w:rFonts w:ascii="mylotus" w:hAnsi="mylotus"/>
          <w:sz w:val="32"/>
          <w:rtl/>
        </w:rPr>
        <w:t>النظر الأول:</w:t>
      </w:r>
      <w:r>
        <w:rPr>
          <w:rFonts w:ascii="mylotus" w:hAnsi="mylotus"/>
          <w:sz w:val="32"/>
          <w:rtl/>
        </w:rPr>
        <w:t xml:space="preserve"> </w:t>
      </w:r>
      <w:r w:rsidRPr="00B96082">
        <w:rPr>
          <w:rFonts w:ascii="mylotus" w:hAnsi="mylotus"/>
          <w:sz w:val="32"/>
          <w:rtl/>
        </w:rPr>
        <w:t>نظر المحقق النائيني قدس سره [أجود التقريرات ج1 ص149] بحسب فهم سيد المنتقى قدس سره</w:t>
      </w:r>
      <w:r>
        <w:rPr>
          <w:rFonts w:ascii="mylotus" w:hAnsi="mylotus" w:hint="cs"/>
          <w:sz w:val="32"/>
          <w:rtl/>
        </w:rPr>
        <w:t xml:space="preserve"> -</w:t>
      </w:r>
      <w:r w:rsidRPr="00B96082">
        <w:rPr>
          <w:rFonts w:ascii="mylotus" w:hAnsi="mylotus"/>
          <w:sz w:val="32"/>
          <w:rtl/>
        </w:rPr>
        <w:t xml:space="preserve"> الموافق لما</w:t>
      </w:r>
      <w:r>
        <w:rPr>
          <w:rFonts w:ascii="mylotus" w:hAnsi="mylotus" w:hint="cs"/>
          <w:sz w:val="32"/>
          <w:rtl/>
        </w:rPr>
        <w:t xml:space="preserve"> </w:t>
      </w:r>
      <w:r w:rsidRPr="00B96082">
        <w:rPr>
          <w:rFonts w:ascii="mylotus" w:hAnsi="mylotus"/>
          <w:sz w:val="32"/>
          <w:rtl/>
        </w:rPr>
        <w:t xml:space="preserve">ورد في رسالته في التعبدي والتوصلي بقلمه </w:t>
      </w:r>
      <w:r>
        <w:rPr>
          <w:rFonts w:ascii="mylotus" w:hAnsi="mylotus" w:hint="cs"/>
          <w:sz w:val="32"/>
          <w:rtl/>
        </w:rPr>
        <w:t xml:space="preserve">- </w:t>
      </w:r>
      <w:r w:rsidRPr="00B96082">
        <w:rPr>
          <w:rFonts w:ascii="mylotus" w:hAnsi="mylotus"/>
          <w:sz w:val="32"/>
          <w:rtl/>
        </w:rPr>
        <w:t>وهو دعوى ظهور متعلق الأمر في خصوص الفعل المباشري</w:t>
      </w:r>
      <w:r w:rsidRPr="00B96082">
        <w:rPr>
          <w:rFonts w:ascii="mylotus" w:hAnsi="mylotus"/>
          <w:sz w:val="32"/>
        </w:rPr>
        <w:t>.</w:t>
      </w:r>
    </w:p>
    <w:p w14:paraId="58ADF1DD" w14:textId="26C98292" w:rsidR="00B96082" w:rsidRPr="00B96082" w:rsidRDefault="00B96082" w:rsidP="00B96082">
      <w:pPr>
        <w:pStyle w:val="a"/>
        <w:bidi/>
        <w:rPr>
          <w:rFonts w:ascii="mylotus" w:hAnsi="mylotus"/>
          <w:sz w:val="32"/>
          <w:rtl/>
        </w:rPr>
      </w:pPr>
      <w:r w:rsidRPr="00B96082">
        <w:rPr>
          <w:rFonts w:ascii="mylotus" w:hAnsi="mylotus"/>
          <w:sz w:val="32"/>
          <w:rtl/>
        </w:rPr>
        <w:t>وبيان ذلك أنه في المورد الذي تصح فيه الاستنابة - كما إذا قال المولى: (يمكنك الإستنابة في إخراج الزكاة</w:t>
      </w:r>
      <w:r>
        <w:rPr>
          <w:rFonts w:ascii="mylotus" w:hAnsi="mylotus"/>
          <w:sz w:val="32"/>
          <w:rtl/>
        </w:rPr>
        <w:t xml:space="preserve"> </w:t>
      </w:r>
      <w:r w:rsidRPr="00B96082">
        <w:rPr>
          <w:rFonts w:ascii="mylotus" w:hAnsi="mylotus"/>
          <w:sz w:val="32"/>
          <w:rtl/>
        </w:rPr>
        <w:t>) - توجد ثلاثة عناصر</w:t>
      </w:r>
      <w:r w:rsidRPr="00B96082">
        <w:rPr>
          <w:rFonts w:ascii="mylotus" w:hAnsi="mylotus"/>
          <w:sz w:val="32"/>
        </w:rPr>
        <w:t>:</w:t>
      </w:r>
    </w:p>
    <w:p w14:paraId="24248042" w14:textId="53856556" w:rsidR="00B96082" w:rsidRPr="00B96082" w:rsidRDefault="00B96082" w:rsidP="00B96082">
      <w:pPr>
        <w:pStyle w:val="a"/>
        <w:bidi/>
        <w:rPr>
          <w:rFonts w:ascii="mylotus" w:hAnsi="mylotus"/>
          <w:sz w:val="32"/>
          <w:rtl/>
        </w:rPr>
      </w:pPr>
      <w:r w:rsidRPr="00B96082">
        <w:rPr>
          <w:rFonts w:ascii="mylotus" w:hAnsi="mylotus"/>
          <w:b/>
          <w:bCs/>
          <w:sz w:val="32"/>
          <w:rtl/>
        </w:rPr>
        <w:t>العنصر الأول:</w:t>
      </w:r>
      <w:r w:rsidRPr="00B96082">
        <w:rPr>
          <w:rFonts w:ascii="mylotus" w:hAnsi="mylotus"/>
          <w:sz w:val="32"/>
          <w:rtl/>
        </w:rPr>
        <w:t xml:space="preserve"> الوجوب التعييني من جهة المادة: أي</w:t>
      </w:r>
      <w:r>
        <w:rPr>
          <w:rFonts w:ascii="mylotus" w:hAnsi="mylotus"/>
          <w:sz w:val="32"/>
          <w:rtl/>
        </w:rPr>
        <w:t xml:space="preserve"> </w:t>
      </w:r>
      <w:r w:rsidRPr="00B96082">
        <w:rPr>
          <w:rFonts w:ascii="mylotus" w:hAnsi="mylotus"/>
          <w:sz w:val="32"/>
          <w:rtl/>
        </w:rPr>
        <w:t xml:space="preserve">الأمر بالمادة بعنوانها، نحو </w:t>
      </w:r>
      <w:r>
        <w:rPr>
          <w:rFonts w:ascii="mylotus" w:hAnsi="mylotus" w:hint="cs"/>
          <w:sz w:val="32"/>
          <w:rtl/>
        </w:rPr>
        <w:t>إ</w:t>
      </w:r>
      <w:r w:rsidRPr="00B96082">
        <w:rPr>
          <w:rFonts w:ascii="mylotus" w:hAnsi="mylotus"/>
          <w:sz w:val="32"/>
          <w:rtl/>
        </w:rPr>
        <w:t>خراج الزكاة، ولا نزاع في ظهور تعلق الصيغة بالمادة في التعيين، أي أن جملة : (أخرج زكاة الفطرة) ظاهرة</w:t>
      </w:r>
      <w:r>
        <w:rPr>
          <w:rFonts w:ascii="mylotus" w:hAnsi="mylotus" w:hint="cs"/>
          <w:sz w:val="32"/>
          <w:rtl/>
        </w:rPr>
        <w:t xml:space="preserve"> </w:t>
      </w:r>
      <w:r w:rsidRPr="00B96082">
        <w:rPr>
          <w:rFonts w:ascii="mylotus" w:hAnsi="mylotus"/>
          <w:sz w:val="32"/>
          <w:rtl/>
        </w:rPr>
        <w:t>في أن الزكاة واجب بعنوانه</w:t>
      </w:r>
      <w:r>
        <w:rPr>
          <w:rFonts w:ascii="mylotus" w:hAnsi="mylotus" w:hint="cs"/>
          <w:sz w:val="32"/>
          <w:rtl/>
        </w:rPr>
        <w:t xml:space="preserve"> </w:t>
      </w:r>
      <w:r w:rsidRPr="00B96082">
        <w:rPr>
          <w:rFonts w:ascii="mylotus" w:hAnsi="mylotus"/>
          <w:sz w:val="32"/>
          <w:rtl/>
        </w:rPr>
        <w:t>لا بعنوان مطلق العبادة أو الدين، ونظيره لو قال: (أطعم الفقير) فإن ظاهره أن الواجب هو الإطعام بما هو لا الإطعام بما هو إكرام للفقير سواء كان الإطعام مباشريا أم تسبيبا</w:t>
      </w:r>
      <w:r w:rsidRPr="00B96082">
        <w:rPr>
          <w:rFonts w:ascii="mylotus" w:hAnsi="mylotus"/>
          <w:sz w:val="32"/>
        </w:rPr>
        <w:t>.</w:t>
      </w:r>
    </w:p>
    <w:p w14:paraId="275916B4" w14:textId="230BBC17" w:rsidR="00B96082" w:rsidRPr="00B96082" w:rsidRDefault="00B96082" w:rsidP="00B96082">
      <w:pPr>
        <w:pStyle w:val="a"/>
        <w:bidi/>
        <w:rPr>
          <w:rFonts w:ascii="mylotus" w:hAnsi="mylotus"/>
          <w:sz w:val="32"/>
          <w:rtl/>
        </w:rPr>
      </w:pPr>
      <w:r w:rsidRPr="00B96082">
        <w:rPr>
          <w:rFonts w:ascii="mylotus" w:hAnsi="mylotus"/>
          <w:b/>
          <w:bCs/>
          <w:sz w:val="32"/>
          <w:rtl/>
        </w:rPr>
        <w:t>العنصر الثاني:</w:t>
      </w:r>
      <w:r w:rsidRPr="00B96082">
        <w:rPr>
          <w:rFonts w:ascii="mylotus" w:hAnsi="mylotus"/>
          <w:sz w:val="32"/>
          <w:rtl/>
        </w:rPr>
        <w:t xml:space="preserve"> إن دليل الإستنابة نحو (يمكن للمكلف أن يزكي</w:t>
      </w:r>
      <w:r>
        <w:rPr>
          <w:rFonts w:ascii="mylotus" w:hAnsi="mylotus"/>
          <w:sz w:val="32"/>
          <w:rtl/>
        </w:rPr>
        <w:t xml:space="preserve"> </w:t>
      </w:r>
      <w:r w:rsidRPr="00B96082">
        <w:rPr>
          <w:rFonts w:ascii="mylotus" w:hAnsi="mylotus"/>
          <w:sz w:val="32"/>
          <w:rtl/>
        </w:rPr>
        <w:t>بنفسه أو يكتفي بأن يستنيب) ظاهر في</w:t>
      </w:r>
      <w:r>
        <w:rPr>
          <w:rFonts w:ascii="mylotus" w:hAnsi="mylotus"/>
          <w:sz w:val="32"/>
          <w:rtl/>
        </w:rPr>
        <w:t xml:space="preserve"> </w:t>
      </w:r>
      <w:r w:rsidRPr="00B96082">
        <w:rPr>
          <w:rFonts w:ascii="mylotus" w:hAnsi="mylotus"/>
          <w:sz w:val="32"/>
          <w:rtl/>
        </w:rPr>
        <w:t>أن المكلف مخير عملا</w:t>
      </w:r>
      <w:r>
        <w:rPr>
          <w:rFonts w:ascii="mylotus" w:hAnsi="mylotus"/>
          <w:sz w:val="32"/>
          <w:rtl/>
        </w:rPr>
        <w:t xml:space="preserve"> </w:t>
      </w:r>
      <w:r w:rsidRPr="00B96082">
        <w:rPr>
          <w:rFonts w:ascii="mylotus" w:hAnsi="mylotus"/>
          <w:sz w:val="32"/>
          <w:rtl/>
        </w:rPr>
        <w:t>بين أن يزكي أو يستنيب</w:t>
      </w:r>
      <w:r w:rsidRPr="00B96082">
        <w:rPr>
          <w:rFonts w:ascii="mylotus" w:hAnsi="mylotus"/>
          <w:sz w:val="32"/>
        </w:rPr>
        <w:t>.</w:t>
      </w:r>
    </w:p>
    <w:p w14:paraId="1FC8D01C" w14:textId="5EA09055" w:rsidR="00B96082" w:rsidRPr="00B96082" w:rsidRDefault="00B96082" w:rsidP="00B96082">
      <w:pPr>
        <w:pStyle w:val="a"/>
        <w:bidi/>
        <w:rPr>
          <w:rFonts w:ascii="mylotus" w:hAnsi="mylotus"/>
          <w:sz w:val="32"/>
          <w:rtl/>
        </w:rPr>
      </w:pPr>
      <w:r w:rsidRPr="00B96082">
        <w:rPr>
          <w:rFonts w:ascii="mylotus" w:hAnsi="mylotus"/>
          <w:b/>
          <w:bCs/>
          <w:sz w:val="32"/>
          <w:rtl/>
        </w:rPr>
        <w:t>العنصر الثالث:</w:t>
      </w:r>
      <w:r w:rsidRPr="00B96082">
        <w:rPr>
          <w:rFonts w:ascii="mylotus" w:hAnsi="mylotus"/>
          <w:sz w:val="32"/>
          <w:rtl/>
        </w:rPr>
        <w:t xml:space="preserve"> بعد أن فتح الشارع باب الاستنابة في مقام العمل فهل الاستنابة في لوح التشريع عدل أم مسقط؟ أي هل أن المكلف مأمور بجامع الزكاة المستند له إما بالمباشرة أو بالتسبيب إليه؟ وعلاج الشك المذكور بالرجوع لظهور المادة، فإن ظاهر قول المشرع: (أخرج الزكاة) هو الفعل المباشري، ولازم ذلك أن تكون الاستنابة مسقطا وليست عدلا. والسر في هذا الظهور أن نفس توجه الخطاب الى المكلف من دون </w:t>
      </w:r>
      <w:r w:rsidRPr="00B96082">
        <w:rPr>
          <w:rFonts w:ascii="mylotus" w:hAnsi="mylotus"/>
          <w:sz w:val="32"/>
          <w:rtl/>
        </w:rPr>
        <w:lastRenderedPageBreak/>
        <w:t>تقييد يرفع الشك من هذه الجهة ، ويجعله ظاهرا في الوجوب التعييني ، وهذا الظهور أقوى من الظهور في العنصر الأول وهو ظهور الصيغة في التعيين من جهة المادة</w:t>
      </w:r>
      <w:r>
        <w:rPr>
          <w:rFonts w:ascii="mylotus" w:hAnsi="mylotus" w:hint="cs"/>
          <w:sz w:val="32"/>
          <w:rtl/>
        </w:rPr>
        <w:t>،</w:t>
      </w:r>
      <w:r w:rsidRPr="00B96082">
        <w:rPr>
          <w:rFonts w:ascii="mylotus" w:hAnsi="mylotus"/>
          <w:sz w:val="32"/>
          <w:rtl/>
        </w:rPr>
        <w:t xml:space="preserve"> وهو أن المأمور به ابتداءً حصة</w:t>
      </w:r>
      <w:r>
        <w:rPr>
          <w:rFonts w:ascii="mylotus" w:hAnsi="mylotus" w:hint="cs"/>
          <w:sz w:val="32"/>
          <w:rtl/>
        </w:rPr>
        <w:t>،</w:t>
      </w:r>
      <w:r w:rsidRPr="00B96082">
        <w:rPr>
          <w:rFonts w:ascii="mylotus" w:hAnsi="mylotus"/>
          <w:sz w:val="32"/>
          <w:rtl/>
        </w:rPr>
        <w:t xml:space="preserve"> وهي الأداء المباشري لا كل أداء</w:t>
      </w:r>
      <w:r w:rsidRPr="00B96082">
        <w:rPr>
          <w:rFonts w:ascii="mylotus" w:hAnsi="mylotus"/>
          <w:sz w:val="32"/>
        </w:rPr>
        <w:t>.</w:t>
      </w:r>
    </w:p>
    <w:p w14:paraId="75E4780B" w14:textId="27A8D380" w:rsidR="00B96082" w:rsidRPr="00B96082" w:rsidRDefault="00B96082" w:rsidP="00B96082">
      <w:pPr>
        <w:pStyle w:val="a"/>
        <w:bidi/>
        <w:rPr>
          <w:rFonts w:ascii="mylotus" w:hAnsi="mylotus"/>
          <w:sz w:val="32"/>
          <w:rtl/>
        </w:rPr>
      </w:pPr>
      <w:r w:rsidRPr="00B96082">
        <w:rPr>
          <w:rFonts w:ascii="mylotus" w:hAnsi="mylotus"/>
          <w:sz w:val="32"/>
          <w:rtl/>
        </w:rPr>
        <w:t>وقد أورد سيد المنتقى قدس سره على هذا الوجه [المنتقى ج1 ص497] أنه لا مبرر لدعوى الظهور في خصوص الحصة المباشرة، إذ غاية ظهور المتعلق المسند إلى المخاطب هو ظهوره في مطلوبية مطلق الاستناد لا المباشرة، فقوله: (ارم الجمرة) ظاهر في مطلوبية الرمي المستند إليه سواء استند إليه بالمباشرة أو بالتسبيب، فحيثية المباشرة مما لا دليل أو شاهد عليها، بل غاية ما يستفاد من متعلق الأمر أن المطلوب هو الفعل المستند، إذ لا معنى عقلائيا أن يؤمر الشخص بما لا يستند إليه، والمباشرة والتسبيب كلاهما مما يستند إليه، وما</w:t>
      </w:r>
      <w:r>
        <w:rPr>
          <w:rFonts w:ascii="mylotus" w:hAnsi="mylotus" w:hint="cs"/>
          <w:sz w:val="32"/>
          <w:rtl/>
        </w:rPr>
        <w:t xml:space="preserve"> </w:t>
      </w:r>
      <w:r w:rsidRPr="00B96082">
        <w:rPr>
          <w:rFonts w:ascii="mylotus" w:hAnsi="mylotus"/>
          <w:sz w:val="32"/>
          <w:rtl/>
        </w:rPr>
        <w:t>أفاده متين</w:t>
      </w:r>
      <w:r w:rsidRPr="00B96082">
        <w:rPr>
          <w:rFonts w:ascii="mylotus" w:hAnsi="mylotus"/>
          <w:sz w:val="32"/>
        </w:rPr>
        <w:t xml:space="preserve"> .</w:t>
      </w:r>
    </w:p>
    <w:p w14:paraId="58DE2ED6" w14:textId="77777777" w:rsidR="00B96082" w:rsidRPr="00B96082" w:rsidRDefault="00B96082" w:rsidP="00B96082">
      <w:pPr>
        <w:pStyle w:val="a"/>
        <w:bidi/>
        <w:rPr>
          <w:rFonts w:ascii="mylotus" w:hAnsi="mylotus"/>
          <w:sz w:val="32"/>
          <w:rtl/>
        </w:rPr>
      </w:pPr>
      <w:r w:rsidRPr="00B96082">
        <w:rPr>
          <w:rFonts w:ascii="mylotus" w:hAnsi="mylotus"/>
          <w:sz w:val="32"/>
          <w:rtl/>
        </w:rPr>
        <w:t>نعم قد يقال بالفرق بين الجملة الخبرية الفعلية من جهة والجملة الخبرية الاسمية والجملة الإنشائية الطلبية من جهة أخرى</w:t>
      </w:r>
      <w:r w:rsidRPr="00B96082">
        <w:rPr>
          <w:rFonts w:ascii="mylotus" w:hAnsi="mylotus"/>
          <w:sz w:val="32"/>
        </w:rPr>
        <w:t>.</w:t>
      </w:r>
    </w:p>
    <w:p w14:paraId="5EB7B6DC" w14:textId="3C87A6A8" w:rsidR="00B96082" w:rsidRPr="00B96082" w:rsidRDefault="00B96082" w:rsidP="00B96082">
      <w:pPr>
        <w:pStyle w:val="a"/>
        <w:bidi/>
        <w:rPr>
          <w:rFonts w:ascii="mylotus" w:hAnsi="mylotus"/>
          <w:sz w:val="32"/>
          <w:rtl/>
        </w:rPr>
      </w:pPr>
      <w:r w:rsidRPr="00B96082">
        <w:rPr>
          <w:rFonts w:ascii="mylotus" w:hAnsi="mylotus"/>
          <w:sz w:val="32"/>
          <w:rtl/>
        </w:rPr>
        <w:t>فقد يقال في الجملة الخبرية الفعلية في مقام الإنشاء نحو (المحرم للحج يوم العاشر يرمي الجمرة) أنها ظاهرة في المباشرة، فإن قوله: (يرمي الجمرة) بيان لنسبة صدورية من خصوص المكلف، وبما أن المدلول المطابقي للجملة الخبرية الفعلية بيان النسبة الصدورية فالمدلول الالتزامي هو أن المطلوب منه هو الحصة المباشرة، فإن المناسب للصدور منه عنصر المباشرة</w:t>
      </w:r>
      <w:r w:rsidRPr="00B96082">
        <w:rPr>
          <w:rFonts w:ascii="mylotus" w:hAnsi="mylotus"/>
          <w:sz w:val="32"/>
        </w:rPr>
        <w:t xml:space="preserve"> .</w:t>
      </w:r>
    </w:p>
    <w:p w14:paraId="48EEFE12" w14:textId="0245F837" w:rsidR="00B96082" w:rsidRPr="00B96082" w:rsidRDefault="00B96082" w:rsidP="00B96082">
      <w:pPr>
        <w:pStyle w:val="a"/>
        <w:bidi/>
        <w:rPr>
          <w:rFonts w:ascii="mylotus" w:hAnsi="mylotus"/>
          <w:sz w:val="32"/>
          <w:rtl/>
        </w:rPr>
      </w:pPr>
      <w:r w:rsidRPr="00B96082">
        <w:rPr>
          <w:rFonts w:ascii="mylotus" w:hAnsi="mylotus"/>
          <w:sz w:val="32"/>
          <w:rtl/>
        </w:rPr>
        <w:t>وأما</w:t>
      </w:r>
      <w:r>
        <w:rPr>
          <w:rFonts w:ascii="mylotus" w:hAnsi="mylotus" w:hint="cs"/>
          <w:sz w:val="32"/>
          <w:rtl/>
        </w:rPr>
        <w:t xml:space="preserve"> </w:t>
      </w:r>
      <w:r w:rsidRPr="00B96082">
        <w:rPr>
          <w:rFonts w:ascii="mylotus" w:hAnsi="mylotus"/>
          <w:sz w:val="32"/>
          <w:rtl/>
        </w:rPr>
        <w:t>الجملة الخبرية الاسمية بأن يقول: (أداء الزكاة واجب) فلا يستفاد منه اعتبار الحصة المباشرة بل هو أعم مثله مثل الجملة الإنشائية الطلبية كما لو قال: (أخرج الزكاة) فإن غايته مطلوبية أداء الزكاة</w:t>
      </w:r>
      <w:r>
        <w:rPr>
          <w:rFonts w:ascii="mylotus" w:hAnsi="mylotus"/>
          <w:sz w:val="32"/>
          <w:rtl/>
        </w:rPr>
        <w:t xml:space="preserve"> </w:t>
      </w:r>
      <w:r w:rsidRPr="00B96082">
        <w:rPr>
          <w:rFonts w:ascii="mylotus" w:hAnsi="mylotus"/>
          <w:sz w:val="32"/>
          <w:rtl/>
        </w:rPr>
        <w:t>المستند إليه بالمباشرة أو بالتسبيب</w:t>
      </w:r>
      <w:r w:rsidRPr="00B96082">
        <w:rPr>
          <w:rFonts w:ascii="mylotus" w:hAnsi="mylotus"/>
          <w:sz w:val="32"/>
        </w:rPr>
        <w:t>.</w:t>
      </w:r>
    </w:p>
    <w:p w14:paraId="1395E4D0" w14:textId="51501239" w:rsidR="00B96082" w:rsidRPr="00B96082" w:rsidRDefault="00B96082" w:rsidP="00B96082">
      <w:pPr>
        <w:pStyle w:val="a"/>
        <w:bidi/>
        <w:rPr>
          <w:rFonts w:ascii="mylotus" w:hAnsi="mylotus"/>
          <w:sz w:val="32"/>
          <w:rtl/>
        </w:rPr>
      </w:pPr>
      <w:r w:rsidRPr="00B96082">
        <w:rPr>
          <w:rFonts w:ascii="mylotus" w:hAnsi="mylotus"/>
          <w:b/>
          <w:bCs/>
          <w:sz w:val="32"/>
          <w:rtl/>
        </w:rPr>
        <w:t>النظر الثاني:</w:t>
      </w:r>
      <w:r w:rsidRPr="00B96082">
        <w:rPr>
          <w:rFonts w:ascii="mylotus" w:hAnsi="mylotus"/>
          <w:sz w:val="32"/>
          <w:rtl/>
        </w:rPr>
        <w:t xml:space="preserve"> نظر المحقق النائيني قدس سره بفهمٍ آخر، وهو دعوى</w:t>
      </w:r>
      <w:r>
        <w:rPr>
          <w:rFonts w:ascii="mylotus" w:hAnsi="mylotus"/>
          <w:sz w:val="32"/>
          <w:rtl/>
        </w:rPr>
        <w:t xml:space="preserve"> </w:t>
      </w:r>
      <w:r w:rsidRPr="00B96082">
        <w:rPr>
          <w:rFonts w:ascii="mylotus" w:hAnsi="mylotus"/>
          <w:sz w:val="32"/>
          <w:rtl/>
        </w:rPr>
        <w:t>ظهور المتعلق في مطلوبية الفعل المستند المنتسب، لا الفعل المباشري ولا</w:t>
      </w:r>
      <w:r>
        <w:rPr>
          <w:rFonts w:ascii="mylotus" w:hAnsi="mylotus" w:hint="cs"/>
          <w:sz w:val="32"/>
          <w:rtl/>
        </w:rPr>
        <w:t xml:space="preserve"> </w:t>
      </w:r>
      <w:r w:rsidRPr="00B96082">
        <w:rPr>
          <w:rFonts w:ascii="mylotus" w:hAnsi="mylotus"/>
          <w:sz w:val="32"/>
          <w:rtl/>
        </w:rPr>
        <w:t>مطلق المستند</w:t>
      </w:r>
      <w:r w:rsidRPr="00B96082">
        <w:rPr>
          <w:rFonts w:ascii="mylotus" w:hAnsi="mylotus"/>
          <w:sz w:val="32"/>
        </w:rPr>
        <w:t xml:space="preserve"> .</w:t>
      </w:r>
    </w:p>
    <w:p w14:paraId="7877C518" w14:textId="40E2F2E8" w:rsidR="00B96082" w:rsidRPr="00B96082" w:rsidRDefault="00B96082" w:rsidP="00B96082">
      <w:pPr>
        <w:pStyle w:val="a"/>
        <w:bidi/>
        <w:rPr>
          <w:rFonts w:ascii="mylotus" w:hAnsi="mylotus"/>
          <w:sz w:val="32"/>
          <w:rtl/>
        </w:rPr>
      </w:pPr>
      <w:r w:rsidRPr="00B96082">
        <w:rPr>
          <w:rFonts w:ascii="mylotus" w:hAnsi="mylotus"/>
          <w:sz w:val="32"/>
          <w:rtl/>
        </w:rPr>
        <w:t>وبيان ذلك أنه بعد المفروغية عن شمول قوله: (أد زكاة الفطرة)</w:t>
      </w:r>
      <w:r>
        <w:rPr>
          <w:rFonts w:ascii="mylotus" w:hAnsi="mylotus"/>
          <w:sz w:val="32"/>
          <w:rtl/>
        </w:rPr>
        <w:t xml:space="preserve"> </w:t>
      </w:r>
      <w:r w:rsidRPr="00B96082">
        <w:rPr>
          <w:rFonts w:ascii="mylotus" w:hAnsi="mylotus"/>
          <w:sz w:val="32"/>
          <w:rtl/>
        </w:rPr>
        <w:t xml:space="preserve">للأداء المستند إليه سواء أكان بالمباشرة أو بالتسبيب، </w:t>
      </w:r>
      <w:r>
        <w:rPr>
          <w:rFonts w:ascii="mylotus" w:hAnsi="mylotus" w:hint="cs"/>
          <w:sz w:val="32"/>
          <w:rtl/>
        </w:rPr>
        <w:t>إ</w:t>
      </w:r>
      <w:r w:rsidRPr="00B96082">
        <w:rPr>
          <w:rFonts w:ascii="mylotus" w:hAnsi="mylotus"/>
          <w:sz w:val="32"/>
          <w:rtl/>
        </w:rPr>
        <w:t>لا أنه هل يشمل التسبيب لمطلق الفعل أم لخصوص الفعل المنتسب للمخاطب فإن التسبيب نوعان، إذ قد يكون تسبيبا لفعل يصح انتسابه للمسبب، وقد يكون تسبيبا لفعل لا يصح انتسابه للمسبب، فمثلا هناك فرق بين الرمي والطواف من جهة وبين أداء الزكاة أو إطعام الفقير من جهة أخرى، فإذا قال المولى: (أد الزكاة) فوكل المكلف شخصا في أدائها فإنه يصدق عليه عرفا</w:t>
      </w:r>
      <w:r>
        <w:rPr>
          <w:rFonts w:ascii="mylotus" w:hAnsi="mylotus"/>
          <w:sz w:val="32"/>
          <w:rtl/>
        </w:rPr>
        <w:t xml:space="preserve"> </w:t>
      </w:r>
      <w:r w:rsidRPr="00B96082">
        <w:rPr>
          <w:rFonts w:ascii="mylotus" w:hAnsi="mylotus"/>
          <w:sz w:val="32"/>
          <w:rtl/>
        </w:rPr>
        <w:t xml:space="preserve">أنه أدى الزكاة مع أن الذي قام </w:t>
      </w:r>
      <w:r w:rsidRPr="00B96082">
        <w:rPr>
          <w:rFonts w:ascii="mylotus" w:hAnsi="mylotus"/>
          <w:sz w:val="32"/>
          <w:rtl/>
        </w:rPr>
        <w:lastRenderedPageBreak/>
        <w:t>بالأداء وكيله، ولكن فعل الوكيل فعل الأصيل،</w:t>
      </w:r>
      <w:r>
        <w:rPr>
          <w:rFonts w:ascii="mylotus" w:hAnsi="mylotus"/>
          <w:sz w:val="32"/>
          <w:rtl/>
        </w:rPr>
        <w:t xml:space="preserve"> </w:t>
      </w:r>
      <w:r w:rsidRPr="00B96082">
        <w:rPr>
          <w:rFonts w:ascii="mylotus" w:hAnsi="mylotus"/>
          <w:sz w:val="32"/>
          <w:rtl/>
        </w:rPr>
        <w:t>وهذا يعني أن ظاهر (أد الزكاة) الأداء المستند المنتسب، وكذا إذا قال: (أطعم الفقير)</w:t>
      </w:r>
      <w:r w:rsidRPr="00B96082">
        <w:rPr>
          <w:rFonts w:ascii="mylotus" w:hAnsi="mylotus"/>
          <w:sz w:val="32"/>
        </w:rPr>
        <w:t>.</w:t>
      </w:r>
    </w:p>
    <w:p w14:paraId="25D11924" w14:textId="0F294FB9" w:rsidR="00B96082" w:rsidRPr="00B96082" w:rsidRDefault="00B96082" w:rsidP="00B96082">
      <w:pPr>
        <w:pStyle w:val="a"/>
        <w:bidi/>
        <w:rPr>
          <w:rFonts w:ascii="mylotus" w:hAnsi="mylotus"/>
          <w:sz w:val="32"/>
          <w:rtl/>
        </w:rPr>
      </w:pPr>
      <w:r w:rsidRPr="00B96082">
        <w:rPr>
          <w:rFonts w:ascii="mylotus" w:hAnsi="mylotus"/>
          <w:sz w:val="32"/>
          <w:rtl/>
        </w:rPr>
        <w:t>وأما إذا قال: (طف حول الكعبة) فإنه لا يشمل عرفا</w:t>
      </w:r>
      <w:r>
        <w:rPr>
          <w:rFonts w:ascii="mylotus" w:hAnsi="mylotus"/>
          <w:sz w:val="32"/>
          <w:rtl/>
        </w:rPr>
        <w:t xml:space="preserve"> </w:t>
      </w:r>
      <w:r w:rsidRPr="00B96082">
        <w:rPr>
          <w:rFonts w:ascii="mylotus" w:hAnsi="mylotus"/>
          <w:sz w:val="32"/>
          <w:rtl/>
        </w:rPr>
        <w:t>الطواف بالاستنابة ونحوه: (ارم الجمرة) فإنه وإن استناب من يطوف عنه ولكن طواف النائب لا ينتسب للمستنيب، فلا يقال: (طاف) لأن نائبه طاف، وإنما يقال: (طيف عنه) وكذا يقال: (رمي عنه)</w:t>
      </w:r>
      <w:r>
        <w:rPr>
          <w:rFonts w:ascii="mylotus" w:hAnsi="mylotus" w:hint="cs"/>
          <w:sz w:val="32"/>
          <w:rtl/>
        </w:rPr>
        <w:t>،</w:t>
      </w:r>
      <w:r w:rsidRPr="00B96082">
        <w:rPr>
          <w:rFonts w:ascii="mylotus" w:hAnsi="mylotus"/>
          <w:sz w:val="32"/>
          <w:rtl/>
        </w:rPr>
        <w:t xml:space="preserve"> فالنوع الثاني - وهو الفعل المستند غير المنتسب - غير مشمول للأمر، لظهور متعلق الأمر في الفعل المستند المنتسب لا مطلق الفعل المستند ولا خصوص المستند بنحو المباشرة - كما في النظر الأول</w:t>
      </w:r>
      <w:r w:rsidRPr="00B96082">
        <w:rPr>
          <w:rFonts w:ascii="mylotus" w:hAnsi="mylotus"/>
          <w:sz w:val="32"/>
        </w:rPr>
        <w:t xml:space="preserve"> -.</w:t>
      </w:r>
    </w:p>
    <w:p w14:paraId="61BE3173" w14:textId="4E7947B2" w:rsidR="00B96082" w:rsidRPr="00B96082" w:rsidRDefault="00B96082" w:rsidP="00B96082">
      <w:pPr>
        <w:pStyle w:val="a"/>
        <w:bidi/>
        <w:rPr>
          <w:rFonts w:ascii="mylotus" w:hAnsi="mylotus"/>
          <w:sz w:val="32"/>
          <w:rtl/>
        </w:rPr>
      </w:pPr>
      <w:r w:rsidRPr="00B96082">
        <w:rPr>
          <w:rFonts w:ascii="mylotus" w:hAnsi="mylotus"/>
          <w:sz w:val="32"/>
          <w:rtl/>
        </w:rPr>
        <w:t xml:space="preserve">ولعل هذا نظر شيخنا الأستاذ قدس سره في </w:t>
      </w:r>
      <w:r>
        <w:rPr>
          <w:rFonts w:ascii="mylotus" w:hAnsi="mylotus" w:hint="cs"/>
          <w:sz w:val="32"/>
          <w:rtl/>
        </w:rPr>
        <w:t>[</w:t>
      </w:r>
      <w:r w:rsidRPr="00B96082">
        <w:rPr>
          <w:rFonts w:ascii="mylotus" w:hAnsi="mylotus"/>
          <w:sz w:val="32"/>
          <w:rtl/>
        </w:rPr>
        <w:t>دروس في مس</w:t>
      </w:r>
      <w:r>
        <w:rPr>
          <w:rFonts w:ascii="mylotus" w:hAnsi="mylotus" w:hint="cs"/>
          <w:sz w:val="32"/>
          <w:rtl/>
        </w:rPr>
        <w:t>ا</w:t>
      </w:r>
      <w:r w:rsidRPr="00B96082">
        <w:rPr>
          <w:rFonts w:ascii="mylotus" w:hAnsi="mylotus"/>
          <w:sz w:val="32"/>
          <w:rtl/>
        </w:rPr>
        <w:t>ئل علم الأصول ج1ص 292</w:t>
      </w:r>
      <w:r>
        <w:rPr>
          <w:rFonts w:ascii="mylotus" w:hAnsi="mylotus" w:hint="cs"/>
          <w:sz w:val="32"/>
          <w:rtl/>
        </w:rPr>
        <w:t xml:space="preserve">] </w:t>
      </w:r>
      <w:r w:rsidRPr="00B96082">
        <w:rPr>
          <w:rFonts w:ascii="mylotus" w:hAnsi="mylotus"/>
          <w:sz w:val="32"/>
          <w:rtl/>
        </w:rPr>
        <w:t>وإن كان سياق العبارة يشير الى المعقولية وعدمها</w:t>
      </w:r>
      <w:r>
        <w:rPr>
          <w:rFonts w:ascii="mylotus" w:hAnsi="mylotus" w:hint="cs"/>
          <w:sz w:val="32"/>
          <w:rtl/>
        </w:rPr>
        <w:t>،</w:t>
      </w:r>
      <w:r w:rsidRPr="00B96082">
        <w:rPr>
          <w:rFonts w:ascii="mylotus" w:hAnsi="mylotus"/>
          <w:sz w:val="32"/>
          <w:rtl/>
        </w:rPr>
        <w:t xml:space="preserve"> وتقريبه</w:t>
      </w:r>
      <w:r>
        <w:rPr>
          <w:rFonts w:ascii="mylotus" w:hAnsi="mylotus"/>
          <w:sz w:val="32"/>
          <w:rtl/>
        </w:rPr>
        <w:t xml:space="preserve"> </w:t>
      </w:r>
      <w:r w:rsidRPr="00B96082">
        <w:rPr>
          <w:rFonts w:ascii="mylotus" w:hAnsi="mylotus"/>
          <w:sz w:val="32"/>
          <w:rtl/>
        </w:rPr>
        <w:t>أن الغرض العرفي من أمر أي مكلف هو أمره بما ينتسب إليه لا أمره بالجامع بين فعله وفعل غيره الذي</w:t>
      </w:r>
      <w:r>
        <w:rPr>
          <w:rFonts w:ascii="mylotus" w:hAnsi="mylotus"/>
          <w:sz w:val="32"/>
          <w:rtl/>
        </w:rPr>
        <w:t xml:space="preserve"> </w:t>
      </w:r>
      <w:r w:rsidRPr="00B96082">
        <w:rPr>
          <w:rFonts w:ascii="mylotus" w:hAnsi="mylotus"/>
          <w:sz w:val="32"/>
          <w:rtl/>
        </w:rPr>
        <w:t>لا ينتسب إليه وإن كان قادرا على التسبيب إليه وإيجاده، فإذا قال: (طف أو ارم أو صل جماعة) فإن الغرض العرفي من هذه الأوامر أن يصدر منه ما ينتسب إليه وإن كان عن تسبيب، لا كل يسهم في وجوده ولو لم ينتسب إليه، فلا يصح عرفا أن يؤمر المكلف بجامع بين فعله وبين ما لا ينتسب إليه وإن كان مستندا إلى تسبيبه</w:t>
      </w:r>
      <w:r w:rsidRPr="00B96082">
        <w:rPr>
          <w:rFonts w:ascii="mylotus" w:hAnsi="mylotus"/>
          <w:sz w:val="32"/>
        </w:rPr>
        <w:t>.</w:t>
      </w:r>
    </w:p>
    <w:p w14:paraId="587BEB88" w14:textId="071721D5" w:rsidR="00B96082" w:rsidRPr="00B96082" w:rsidRDefault="00B96082" w:rsidP="00B96082">
      <w:pPr>
        <w:pStyle w:val="a"/>
        <w:bidi/>
        <w:rPr>
          <w:rFonts w:ascii="mylotus" w:hAnsi="mylotus"/>
          <w:sz w:val="32"/>
          <w:rtl/>
        </w:rPr>
      </w:pPr>
      <w:r w:rsidRPr="00B96082">
        <w:rPr>
          <w:rFonts w:ascii="mylotus" w:hAnsi="mylotus"/>
          <w:sz w:val="32"/>
          <w:rtl/>
        </w:rPr>
        <w:t>وهذا النظر محل تأمل، إذ غاية ما يستفاد من قوله: (ارم) أو (أد الزكاة)</w:t>
      </w:r>
      <w:r>
        <w:rPr>
          <w:rFonts w:ascii="mylotus" w:hAnsi="mylotus"/>
          <w:sz w:val="32"/>
          <w:rtl/>
        </w:rPr>
        <w:t xml:space="preserve"> </w:t>
      </w:r>
      <w:r w:rsidRPr="00B96082">
        <w:rPr>
          <w:rFonts w:ascii="mylotus" w:hAnsi="mylotus"/>
          <w:sz w:val="32"/>
          <w:rtl/>
        </w:rPr>
        <w:t>ونحوه هو الفعل المستند، بلحاظ أن المتعارف</w:t>
      </w:r>
      <w:r>
        <w:rPr>
          <w:rFonts w:ascii="mylotus" w:hAnsi="mylotus"/>
          <w:sz w:val="32"/>
          <w:rtl/>
        </w:rPr>
        <w:t xml:space="preserve"> </w:t>
      </w:r>
      <w:r w:rsidRPr="00B96082">
        <w:rPr>
          <w:rFonts w:ascii="mylotus" w:hAnsi="mylotus"/>
          <w:sz w:val="32"/>
          <w:rtl/>
        </w:rPr>
        <w:t>العقلائي أمر كل مكلف بما</w:t>
      </w:r>
      <w:r>
        <w:rPr>
          <w:rFonts w:ascii="mylotus" w:hAnsi="mylotus" w:hint="cs"/>
          <w:sz w:val="32"/>
          <w:rtl/>
        </w:rPr>
        <w:t xml:space="preserve"> </w:t>
      </w:r>
      <w:r w:rsidRPr="00B96082">
        <w:rPr>
          <w:rFonts w:ascii="mylotus" w:hAnsi="mylotus"/>
          <w:sz w:val="32"/>
          <w:rtl/>
        </w:rPr>
        <w:t xml:space="preserve">يستند </w:t>
      </w:r>
      <w:r>
        <w:rPr>
          <w:rFonts w:ascii="mylotus" w:hAnsi="mylotus" w:hint="cs"/>
          <w:sz w:val="32"/>
          <w:rtl/>
        </w:rPr>
        <w:t>إ</w:t>
      </w:r>
      <w:r w:rsidRPr="00B96082">
        <w:rPr>
          <w:rFonts w:ascii="mylotus" w:hAnsi="mylotus"/>
          <w:sz w:val="32"/>
          <w:rtl/>
        </w:rPr>
        <w:t>ليه ما</w:t>
      </w:r>
      <w:r>
        <w:rPr>
          <w:rFonts w:ascii="mylotus" w:hAnsi="mylotus" w:hint="cs"/>
          <w:sz w:val="32"/>
          <w:rtl/>
        </w:rPr>
        <w:t xml:space="preserve"> </w:t>
      </w:r>
      <w:r w:rsidRPr="00B96082">
        <w:rPr>
          <w:rFonts w:ascii="mylotus" w:hAnsi="mylotus"/>
          <w:sz w:val="32"/>
          <w:rtl/>
        </w:rPr>
        <w:t>لم تقم قرينة على خصوص المباشرة أوخصوص المنتسب، فدعوى أن الغرض العرفي في صدور الفعل من المخاطب على نحو الانتساب بلا شاهد</w:t>
      </w:r>
      <w:r w:rsidRPr="00B96082">
        <w:rPr>
          <w:rFonts w:ascii="mylotus" w:hAnsi="mylotus"/>
          <w:sz w:val="32"/>
        </w:rPr>
        <w:t>.</w:t>
      </w:r>
    </w:p>
    <w:p w14:paraId="2507A9AF" w14:textId="77777777" w:rsidR="00B96082" w:rsidRPr="00B96082" w:rsidRDefault="00B96082" w:rsidP="00B96082">
      <w:pPr>
        <w:pStyle w:val="a"/>
        <w:bidi/>
        <w:rPr>
          <w:rFonts w:ascii="mylotus" w:hAnsi="mylotus"/>
          <w:sz w:val="32"/>
          <w:rtl/>
        </w:rPr>
      </w:pPr>
      <w:r w:rsidRPr="00B96082">
        <w:rPr>
          <w:rFonts w:ascii="mylotus" w:hAnsi="mylotus"/>
          <w:b/>
          <w:bCs/>
          <w:sz w:val="32"/>
          <w:rtl/>
        </w:rPr>
        <w:t>النظر الثالث:</w:t>
      </w:r>
      <w:r w:rsidRPr="00B96082">
        <w:rPr>
          <w:rFonts w:ascii="mylotus" w:hAnsi="mylotus"/>
          <w:sz w:val="32"/>
          <w:rtl/>
        </w:rPr>
        <w:t xml:space="preserve"> ما ذهب إليه السيد الصدر [بحوث في علم الأصول ج2 ص65] من التفصيل بين النسبة الصدورية المحضة والنسبة الصدورية المشوبة بالحلول</w:t>
      </w:r>
      <w:r w:rsidRPr="00B96082">
        <w:rPr>
          <w:rFonts w:ascii="mylotus" w:hAnsi="mylotus"/>
          <w:sz w:val="32"/>
        </w:rPr>
        <w:t>.</w:t>
      </w:r>
    </w:p>
    <w:p w14:paraId="320559EB" w14:textId="1E2410C2" w:rsidR="00B96082" w:rsidRPr="00B96082" w:rsidRDefault="00B96082" w:rsidP="00B96082">
      <w:pPr>
        <w:pStyle w:val="a"/>
        <w:bidi/>
        <w:rPr>
          <w:rFonts w:ascii="mylotus" w:hAnsi="mylotus"/>
          <w:sz w:val="32"/>
          <w:rtl/>
        </w:rPr>
      </w:pPr>
      <w:r w:rsidRPr="00B96082">
        <w:rPr>
          <w:rFonts w:ascii="mylotus" w:hAnsi="mylotus"/>
          <w:sz w:val="32"/>
          <w:rtl/>
        </w:rPr>
        <w:t>وبيانه أنه لا إشكال في كون متعلق الأمر</w:t>
      </w:r>
      <w:r>
        <w:rPr>
          <w:rFonts w:ascii="mylotus" w:hAnsi="mylotus"/>
          <w:sz w:val="32"/>
          <w:rtl/>
        </w:rPr>
        <w:t xml:space="preserve"> </w:t>
      </w:r>
      <w:r w:rsidRPr="00B96082">
        <w:rPr>
          <w:rFonts w:ascii="mylotus" w:hAnsi="mylotus"/>
          <w:sz w:val="32"/>
          <w:rtl/>
        </w:rPr>
        <w:t>ظاهرا في النسبة الصدورية التي لا</w:t>
      </w:r>
      <w:r>
        <w:rPr>
          <w:rFonts w:ascii="mylotus" w:hAnsi="mylotus" w:hint="cs"/>
          <w:sz w:val="32"/>
          <w:rtl/>
        </w:rPr>
        <w:t xml:space="preserve"> </w:t>
      </w:r>
      <w:r w:rsidRPr="00B96082">
        <w:rPr>
          <w:rFonts w:ascii="mylotus" w:hAnsi="mylotus"/>
          <w:sz w:val="32"/>
          <w:rtl/>
        </w:rPr>
        <w:t>تصدق من دون استناد الفعل للمكلف، وأما خصوصية المباشرة ففيه تفصيل، فإن المتعلق إن كان من النسبة الصدورية المحضة - كما إذا قال: (أخرج الزكاة) و(ارم الجمرة) - فالأصل فيه</w:t>
      </w:r>
      <w:r>
        <w:rPr>
          <w:rFonts w:ascii="mylotus" w:hAnsi="mylotus"/>
          <w:sz w:val="32"/>
          <w:rtl/>
        </w:rPr>
        <w:t xml:space="preserve"> </w:t>
      </w:r>
      <w:r w:rsidRPr="00B96082">
        <w:rPr>
          <w:rFonts w:ascii="mylotus" w:hAnsi="mylotus"/>
          <w:sz w:val="32"/>
          <w:rtl/>
        </w:rPr>
        <w:t>التوصلية، أي لا يقتضي خصوص الحصة المباشرة بل هو أعم</w:t>
      </w:r>
      <w:r w:rsidRPr="00B96082">
        <w:rPr>
          <w:rFonts w:ascii="mylotus" w:hAnsi="mylotus"/>
          <w:sz w:val="32"/>
        </w:rPr>
        <w:t>.</w:t>
      </w:r>
    </w:p>
    <w:p w14:paraId="125760D2" w14:textId="487AB3E4" w:rsidR="00B96082" w:rsidRPr="00B96082" w:rsidRDefault="00B96082" w:rsidP="00B96082">
      <w:pPr>
        <w:pStyle w:val="a"/>
        <w:bidi/>
        <w:rPr>
          <w:rFonts w:ascii="mylotus" w:hAnsi="mylotus"/>
          <w:sz w:val="32"/>
          <w:rtl/>
        </w:rPr>
      </w:pPr>
      <w:r w:rsidRPr="00B96082">
        <w:rPr>
          <w:rFonts w:ascii="mylotus" w:hAnsi="mylotus"/>
          <w:sz w:val="32"/>
          <w:rtl/>
        </w:rPr>
        <w:t>وإن</w:t>
      </w:r>
      <w:r>
        <w:rPr>
          <w:rFonts w:ascii="mylotus" w:hAnsi="mylotus"/>
          <w:sz w:val="32"/>
          <w:rtl/>
        </w:rPr>
        <w:t xml:space="preserve"> </w:t>
      </w:r>
      <w:r w:rsidRPr="00B96082">
        <w:rPr>
          <w:rFonts w:ascii="mylotus" w:hAnsi="mylotus"/>
          <w:sz w:val="32"/>
          <w:rtl/>
        </w:rPr>
        <w:t>كان متعلق الأمر نسبة صدورية مشوبة</w:t>
      </w:r>
      <w:r>
        <w:rPr>
          <w:rFonts w:ascii="mylotus" w:hAnsi="mylotus"/>
          <w:sz w:val="32"/>
          <w:rtl/>
        </w:rPr>
        <w:t xml:space="preserve"> </w:t>
      </w:r>
      <w:r w:rsidRPr="00B96082">
        <w:rPr>
          <w:rFonts w:ascii="mylotus" w:hAnsi="mylotus"/>
          <w:sz w:val="32"/>
          <w:rtl/>
        </w:rPr>
        <w:t>بالحلول كالطواف حيث إنه لا يتعدى إلى غير الطائف والصلاة التي لا تتعدى إلى غير المصلي، فالأصل فيه</w:t>
      </w:r>
      <w:r>
        <w:rPr>
          <w:rFonts w:ascii="mylotus" w:hAnsi="mylotus"/>
          <w:sz w:val="32"/>
          <w:rtl/>
        </w:rPr>
        <w:t xml:space="preserve"> </w:t>
      </w:r>
      <w:r w:rsidRPr="00B96082">
        <w:rPr>
          <w:rFonts w:ascii="mylotus" w:hAnsi="mylotus"/>
          <w:sz w:val="32"/>
          <w:rtl/>
        </w:rPr>
        <w:t>التعبدية أي اعتبار الحصة المباشرة، فلا تتأتى بغير المباشرة ولو عن تسبيب واستنابة</w:t>
      </w:r>
      <w:r w:rsidRPr="00B96082">
        <w:rPr>
          <w:rFonts w:ascii="mylotus" w:hAnsi="mylotus"/>
          <w:sz w:val="32"/>
        </w:rPr>
        <w:t>.</w:t>
      </w:r>
    </w:p>
    <w:p w14:paraId="3D2A009A" w14:textId="5565F347" w:rsidR="00B96082" w:rsidRPr="00B96082" w:rsidRDefault="00B96082" w:rsidP="00B96082">
      <w:pPr>
        <w:pStyle w:val="a"/>
        <w:bidi/>
        <w:rPr>
          <w:rFonts w:ascii="mylotus" w:hAnsi="mylotus"/>
          <w:sz w:val="32"/>
          <w:rtl/>
        </w:rPr>
      </w:pPr>
      <w:r w:rsidRPr="00B96082">
        <w:rPr>
          <w:rFonts w:ascii="mylotus" w:hAnsi="mylotus"/>
          <w:sz w:val="32"/>
          <w:rtl/>
        </w:rPr>
        <w:lastRenderedPageBreak/>
        <w:t>ويلاحظ على ذلك: أن ما كان مشوبا بنسبةً حلولية لا ظهور فيه في خصوص الحصة المباشرة مطلقا، وذلك لاختلاف طريقة الإسناد، إذ تارةً يقول: (صل جماعة) فهو ظاهر في</w:t>
      </w:r>
      <w:r>
        <w:rPr>
          <w:rFonts w:ascii="mylotus" w:hAnsi="mylotus"/>
          <w:sz w:val="32"/>
          <w:rtl/>
        </w:rPr>
        <w:t xml:space="preserve"> </w:t>
      </w:r>
      <w:r w:rsidRPr="00B96082">
        <w:rPr>
          <w:rFonts w:ascii="mylotus" w:hAnsi="mylotus"/>
          <w:sz w:val="32"/>
          <w:rtl/>
        </w:rPr>
        <w:t>الفعل المباشري، وتارة يصوغ النسبة الحلولية بصيغة أخرى كما إذا قال: (أوجد صلاة الجماعة في المسجد)، فإنه لا</w:t>
      </w:r>
      <w:r>
        <w:rPr>
          <w:rFonts w:ascii="mylotus" w:hAnsi="mylotus" w:hint="cs"/>
          <w:sz w:val="32"/>
          <w:rtl/>
        </w:rPr>
        <w:t xml:space="preserve"> </w:t>
      </w:r>
      <w:r w:rsidRPr="00B96082">
        <w:rPr>
          <w:rFonts w:ascii="mylotus" w:hAnsi="mylotus"/>
          <w:sz w:val="32"/>
          <w:rtl/>
        </w:rPr>
        <w:t>ظهور له في خصوص المباشرة بل الأعم من المباشرة والتسبيب، وكذا الفرق بين: (أطعم الفقير) و(أوجد إطعام الفقير)، فمجرد كون النسبة حلولية لا يعني ظهورها في الحصة المباشرة بل يختلف الأمر باختلاف طريقة الإسناد</w:t>
      </w:r>
      <w:r w:rsidRPr="00B96082">
        <w:rPr>
          <w:rFonts w:ascii="mylotus" w:hAnsi="mylotus"/>
          <w:sz w:val="32"/>
        </w:rPr>
        <w:t>.</w:t>
      </w:r>
    </w:p>
    <w:p w14:paraId="6DE4FAF0" w14:textId="77777777" w:rsidR="00B96082" w:rsidRDefault="00B96082" w:rsidP="00B96082">
      <w:pPr>
        <w:pStyle w:val="a"/>
        <w:bidi/>
        <w:rPr>
          <w:rFonts w:ascii="mylotus" w:hAnsi="mylotus"/>
          <w:sz w:val="32"/>
          <w:rtl/>
        </w:rPr>
      </w:pPr>
      <w:r w:rsidRPr="00B96082">
        <w:rPr>
          <w:rFonts w:ascii="mylotus" w:hAnsi="mylotus"/>
          <w:sz w:val="32"/>
          <w:rtl/>
        </w:rPr>
        <w:t>فالصحيح هو النظر الرابع وهو ما بنى عليه جمع منهم سيد المنتقى قدس سره من عدم ظهور المادة - أي: متعلق الأمر - في أكثر من الفعل المستند، فإذا قال المولى: (أد الزكاة) أو (طف) لم يستفد منه أكثر من أن المطلوب ما يستند إليه سواء استند إليه بالمباشرة أو بالتسبيب، صح انتسابه إليه بعد التسبيب أم لم يصح، فإن كل ذلك يحتاج إلى قرائن أخرى، وأما نفس متعلق الأمر فلا يستفاد منه أكثر من الفعل المستند.</w:t>
      </w:r>
    </w:p>
    <w:p w14:paraId="2D24CFF0" w14:textId="783D975E" w:rsidR="001F034F" w:rsidRPr="00022AE8" w:rsidRDefault="00E706A4" w:rsidP="00B96082">
      <w:pPr>
        <w:pStyle w:val="a"/>
        <w:bidi/>
        <w:jc w:val="center"/>
        <w:rPr>
          <w:rFonts w:ascii="mylotus" w:hAnsi="mylotus"/>
          <w:b/>
          <w:bCs/>
          <w:sz w:val="32"/>
        </w:rPr>
      </w:pPr>
      <w:r w:rsidRPr="00022AE8">
        <w:rPr>
          <w:rFonts w:ascii="mylotus" w:hAnsi="mylotus" w:hint="cs"/>
          <w:b/>
          <w:bCs/>
          <w:sz w:val="32"/>
          <w:rtl/>
        </w:rPr>
        <w:t>والحمد لله رب العالمين</w:t>
      </w:r>
    </w:p>
    <w:p w14:paraId="20658458" w14:textId="77777777" w:rsidR="00B452F2" w:rsidRPr="00022AE8" w:rsidRDefault="00B452F2">
      <w:pPr>
        <w:pStyle w:val="a"/>
        <w:bidi/>
        <w:jc w:val="center"/>
        <w:rPr>
          <w:rFonts w:ascii="mylotus" w:hAnsi="mylotus"/>
          <w:b/>
          <w:bCs/>
          <w:sz w:val="32"/>
        </w:rPr>
      </w:pPr>
    </w:p>
    <w:sectPr w:rsidR="00B452F2" w:rsidRPr="00022AE8" w:rsidSect="007B13BD">
      <w:headerReference w:type="even" r:id="rId8"/>
      <w:headerReference w:type="default" r:id="rId9"/>
      <w:footerReference w:type="even" r:id="rId10"/>
      <w:footerReference w:type="default" r:id="rId11"/>
      <w:headerReference w:type="first" r:id="rId12"/>
      <w:footerReference w:type="first" r:id="rId13"/>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6BF93D" w14:textId="77777777" w:rsidR="000A539E" w:rsidRDefault="000A539E" w:rsidP="00A5027D">
      <w:pPr>
        <w:spacing w:line="240" w:lineRule="auto"/>
      </w:pPr>
      <w:r>
        <w:separator/>
      </w:r>
    </w:p>
  </w:endnote>
  <w:endnote w:type="continuationSeparator" w:id="0">
    <w:p w14:paraId="135C2187" w14:textId="77777777" w:rsidR="000A539E" w:rsidRDefault="000A539E"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almohsin">
    <w:altName w:val="Arial"/>
    <w:charset w:val="00"/>
    <w:family w:val="auto"/>
    <w:pitch w:val="variable"/>
    <w:sig w:usb0="00002007" w:usb1="80000000" w:usb2="00000008" w:usb3="00000000" w:csb0="00000043" w:csb1="00000000"/>
  </w:font>
  <w:font w:name="mylotus">
    <w:panose1 w:val="02000000000000000000"/>
    <w:charset w:val="00"/>
    <w:family w:val="auto"/>
    <w:pitch w:val="variable"/>
    <w:sig w:usb0="00002007" w:usb1="80000000" w:usb2="00000008" w:usb3="00000000" w:csb0="00000043"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E6D0B" w14:textId="77777777" w:rsidR="00D744A5" w:rsidRDefault="00D744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FF0000"/>
        <w:sz w:val="24"/>
        <w:szCs w:val="24"/>
        <w:rtl/>
      </w:rPr>
      <w:id w:val="1007181803"/>
      <w:docPartObj>
        <w:docPartGallery w:val="Page Numbers (Bottom of Page)"/>
        <w:docPartUnique/>
      </w:docPartObj>
    </w:sdtPr>
    <w:sdtContent>
      <w:p w14:paraId="5CB150A1" w14:textId="77777777" w:rsidR="00C02079" w:rsidRDefault="00C02079" w:rsidP="007A1A5D">
        <w:pPr>
          <w:pStyle w:val="Footer"/>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883237" w:rsidRPr="00883237">
          <w:rPr>
            <w:rFonts w:ascii="mylotus" w:hAnsi="mylotus" w:cs="mylotus"/>
            <w:noProof/>
            <w:color w:val="FF0000"/>
            <w:sz w:val="24"/>
            <w:szCs w:val="24"/>
            <w:rtl/>
            <w:lang w:val="ar-SA"/>
          </w:rPr>
          <w:t>1</w:t>
        </w:r>
        <w:r w:rsidRPr="00A1068D">
          <w:rPr>
            <w:rFonts w:ascii="mylotus" w:hAnsi="mylotus" w:cs="mylotus"/>
            <w:color w:val="FF0000"/>
            <w:sz w:val="24"/>
            <w:szCs w:val="24"/>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5ACDE" w14:textId="77777777" w:rsidR="00D744A5" w:rsidRDefault="00D744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E58941" w14:textId="77777777" w:rsidR="000A539E" w:rsidRDefault="000A539E" w:rsidP="00A5027D">
      <w:pPr>
        <w:spacing w:line="240" w:lineRule="auto"/>
      </w:pPr>
      <w:r>
        <w:separator/>
      </w:r>
    </w:p>
  </w:footnote>
  <w:footnote w:type="continuationSeparator" w:id="0">
    <w:p w14:paraId="6DA29348" w14:textId="77777777" w:rsidR="000A539E" w:rsidRDefault="000A539E" w:rsidP="00A5027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9A675" w14:textId="77777777" w:rsidR="00D744A5" w:rsidRDefault="00D744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357DA" w14:textId="3A953418" w:rsidR="00C02079" w:rsidRPr="00A92C34" w:rsidRDefault="00C02079" w:rsidP="00883237">
    <w:pPr>
      <w:pStyle w:val="Header"/>
      <w:tabs>
        <w:tab w:val="left" w:pos="4961"/>
      </w:tabs>
      <w:rPr>
        <w:rFonts w:ascii="mylotus" w:hAnsi="mylotus" w:cs="mylotus"/>
        <w:sz w:val="24"/>
        <w:szCs w:val="24"/>
        <w:rtl/>
        <w:lang w:val="en-US"/>
      </w:rPr>
    </w:pPr>
    <w:r w:rsidRPr="00A92C34">
      <w:rPr>
        <w:rFonts w:ascii="mylotus" w:hAnsi="mylotus" w:cs="mylotus"/>
        <w:noProof/>
        <w:color w:val="FF0000"/>
        <w:sz w:val="24"/>
        <w:szCs w:val="24"/>
        <w:rtl/>
        <w:lang w:val="en-US"/>
      </w:rPr>
      <mc:AlternateContent>
        <mc:Choice Requires="wps">
          <w:drawing>
            <wp:anchor distT="0" distB="0" distL="114300" distR="114300" simplePos="0" relativeHeight="251663360"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45A29E0" id="رابط مستقيم 1" o:spid="_x0000_s1026" style="position:absolute;flip:x;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tXGpQEAAJ4DAAAOAAAAZHJzL2Uyb0RvYy54bWysU9tq3DAQfQ/kH4Tes7YDDRuz3jwktHko&#10;bWiSD1Dk0VqgG5K69v59R+Ndp6Sl0JAXocucM3POjDY3kzVsDzFp7zrerGrOwEnfa7fr+PPT54s1&#10;ZykL1wvjHXT8AInfbM/PNmNo4dIP3vQQGZK41I6h40POoa2qJAewIq18AIePykcrMh7jruqjGJHd&#10;muqyrq+q0cc+RC8hJby9mx/5lviVApm/K5UgM9NxrC3TGml9KWu13Yh2F0UYtDyWId5RhRXaYdKF&#10;6k5kwX5G/QeV1TL65FVeSW8rr5SWQBpQTVO/UfM4iACkBc1JYbEpfRyt/La/dQ8RbRhDalN4iEXF&#10;pKJlyuhwjz0lXVgpm8i2w2IbTJlJvLxqrpv1+hNn8vRWzRSFKsSUv4C3rGw6brQrikQr9l9TxrQY&#10;egrBw2sRtMsHAyXYuB+gmO4x2VwOzQfcmsj2AjsrpASXm9JN5KPoAlPamAVYU9p/Ao/xBQo0O/8D&#10;XhCU2bu8gK12Pv4te55OJas5/uTArLtY8OL7A7WHrMEhIIXHgS1T9vuZ4K/favsLAAD//wMAUEsD&#10;BBQABgAIAAAAIQCOFGDh2wAAAAcBAAAPAAAAZHJzL2Rvd25yZXYueG1sTI/BTsMwEETvSPyDtUjc&#10;WqehUBriVIjSM2qhEkc3XpKAvY5st03+nkUc4Dg7o5m35WpwVpwwxM6Tgtk0A4FUe9NRo+DtdTO5&#10;BxGTJqOtJ1QwYoRVdXlR6sL4M23xtEuN4BKKhVbQptQXUsa6Rafj1PdI7H344HRiGRppgj5zubMy&#10;z7I76XRHvNDqHp9arL92R6cg2ub5c9yPfp2bMK438R1fZnOlrq+GxwcQCYf0F4YffEaHipkO/kgm&#10;CqtgcsNBBbf5EgTby8WcPzn8HmRVyv/81TcAAAD//wMAUEsBAi0AFAAGAAgAAAAhALaDOJL+AAAA&#10;4QEAABMAAAAAAAAAAAAAAAAAAAAAAFtDb250ZW50X1R5cGVzXS54bWxQSwECLQAUAAYACAAAACEA&#10;OP0h/9YAAACUAQAACwAAAAAAAAAAAAAAAAAvAQAAX3JlbHMvLnJlbHNQSwECLQAUAAYACAAAACEA&#10;JJbVxqUBAACeAwAADgAAAAAAAAAAAAAAAAAuAgAAZHJzL2Uyb0RvYy54bWxQSwECLQAUAAYACAAA&#10;ACEAjhRg4dsAAAAHAQAADwAAAAAAAAAAAAAAAAD/AwAAZHJzL2Rvd25yZXYueG1sUEsFBgAAAAAE&#10;AAQA8wAAAAcFAAAAAA==&#10;" strokecolor="#4579b8 [3044]">
              <w10:wrap anchorx="margin"/>
            </v:line>
          </w:pict>
        </mc:Fallback>
      </mc:AlternateContent>
    </w:r>
    <w:r w:rsidR="00B40E4E" w:rsidRPr="00B40E4E">
      <w:rPr>
        <w:rtl/>
      </w:rPr>
      <w:t xml:space="preserve"> </w:t>
    </w:r>
    <w:r w:rsidR="00B40E4E" w:rsidRPr="00B40E4E">
      <w:rPr>
        <w:rFonts w:ascii="mylotus" w:hAnsi="mylotus" w:cs="mylotus"/>
        <w:color w:val="FF0000"/>
        <w:sz w:val="24"/>
        <w:szCs w:val="24"/>
        <w:rtl/>
      </w:rPr>
      <w:t xml:space="preserve">بحث الأصول </w:t>
    </w:r>
    <w:r w:rsidR="00B40E4E" w:rsidRPr="00B40E4E">
      <w:rPr>
        <w:rFonts w:ascii="mylotus" w:hAnsi="mylotus" w:cs="mylotus"/>
        <w:color w:val="FF0000"/>
        <w:sz w:val="24"/>
        <w:szCs w:val="24"/>
        <w:rtl/>
      </w:rPr>
      <w:t xml:space="preserve">- مبحث الأوامر </w:t>
    </w:r>
    <w:r w:rsidR="00284BFD">
      <w:rPr>
        <w:rFonts w:ascii="mylotus" w:hAnsi="mylotus" w:cs="mylotus" w:hint="cs"/>
        <w:color w:val="FF0000"/>
        <w:sz w:val="24"/>
        <w:szCs w:val="24"/>
        <w:rtl/>
      </w:rPr>
      <w:t>26</w:t>
    </w:r>
    <w:r w:rsidR="00B40E4E" w:rsidRPr="00B40E4E">
      <w:rPr>
        <w:rFonts w:ascii="mylotus" w:hAnsi="mylotus" w:cs="mylotus"/>
        <w:color w:val="FF0000"/>
        <w:sz w:val="24"/>
        <w:szCs w:val="24"/>
        <w:rtl/>
      </w:rPr>
      <w:t xml:space="preserve"> - </w:t>
    </w:r>
    <w:r w:rsidR="00284BFD">
      <w:rPr>
        <w:rFonts w:ascii="Cambria" w:hAnsi="Cambria" w:cs="mylotus" w:hint="cs"/>
        <w:color w:val="FF0000"/>
        <w:sz w:val="24"/>
        <w:szCs w:val="24"/>
        <w:rtl/>
      </w:rPr>
      <w:t>الأربعاء</w:t>
    </w:r>
    <w:r w:rsidR="00B40E4E" w:rsidRPr="00B40E4E">
      <w:rPr>
        <w:rFonts w:ascii="mylotus" w:hAnsi="mylotus" w:cs="mylotus"/>
        <w:color w:val="FF0000"/>
        <w:sz w:val="24"/>
        <w:szCs w:val="24"/>
        <w:rtl/>
      </w:rPr>
      <w:t xml:space="preserve"> </w:t>
    </w:r>
    <w:r w:rsidR="00284BFD">
      <w:rPr>
        <w:rFonts w:ascii="mylotus" w:hAnsi="mylotus" w:cs="mylotus" w:hint="cs"/>
        <w:color w:val="FF0000"/>
        <w:sz w:val="24"/>
        <w:szCs w:val="24"/>
        <w:rtl/>
      </w:rPr>
      <w:t>16</w:t>
    </w:r>
    <w:r w:rsidR="00B40E4E" w:rsidRPr="00B40E4E">
      <w:rPr>
        <w:rFonts w:ascii="mylotus" w:hAnsi="mylotus" w:cs="mylotus"/>
        <w:color w:val="FF0000"/>
        <w:sz w:val="24"/>
        <w:szCs w:val="24"/>
        <w:rtl/>
      </w:rPr>
      <w:t xml:space="preserve"> ربيع الثاني ١٤٤٥ه</w:t>
    </w:r>
    <w:r w:rsidR="00B40E4E">
      <w:rPr>
        <w:rFonts w:ascii="Cambria" w:hAnsi="Cambria" w:cs="mylotus" w:hint="cs"/>
        <w:color w:val="FF0000"/>
        <w:sz w:val="24"/>
        <w:szCs w:val="24"/>
        <w:rtl/>
      </w:rPr>
      <w:t>ـ</w:t>
    </w:r>
    <w:r w:rsidR="00B96082">
      <w:rPr>
        <w:rFonts w:ascii="mylotus" w:hAnsi="mylotus" w:cs="mylotus"/>
        <w:color w:val="FF0000"/>
        <w:sz w:val="24"/>
        <w:szCs w:val="24"/>
        <w:rtl/>
      </w:rPr>
      <w:t xml:space="preserve"> </w:t>
    </w:r>
    <w:r w:rsidR="00B96082">
      <w:rPr>
        <w:rFonts w:ascii="mylotus" w:hAnsi="mylotus" w:cs="mylotus" w:hint="cs"/>
        <w:color w:val="FF0000"/>
        <w:sz w:val="24"/>
        <w:szCs w:val="24"/>
        <w:rtl/>
        <w:lang w:val="en-US"/>
      </w:rPr>
      <w:t xml:space="preserve">       </w:t>
    </w:r>
    <w:r w:rsidR="00C62022">
      <w:rPr>
        <w:rFonts w:ascii="mylotus" w:hAnsi="mylotus" w:cs="mylotus" w:hint="cs"/>
        <w:color w:val="FF0000"/>
        <w:sz w:val="24"/>
        <w:szCs w:val="24"/>
        <w:rtl/>
        <w:lang w:val="en-US"/>
      </w:rPr>
      <w:t xml:space="preserve"> </w:t>
    </w:r>
    <w:r w:rsidRPr="00A92C34">
      <w:rPr>
        <w:rFonts w:ascii="mylotus" w:hAnsi="mylotus" w:cs="mylotus"/>
        <w:color w:val="FF0000"/>
        <w:sz w:val="24"/>
        <w:szCs w:val="24"/>
        <w:rtl/>
        <w:lang w:val="en-US"/>
      </w:rPr>
      <w:t>الأستاذ السيد منير الخباز</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916B5" w14:textId="77777777" w:rsidR="00D744A5" w:rsidRDefault="00D744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66BCA"/>
    <w:multiLevelType w:val="hybridMultilevel"/>
    <w:tmpl w:val="19403032"/>
    <w:lvl w:ilvl="0" w:tplc="B5B46ED4">
      <w:start w:val="1"/>
      <w:numFmt w:val="decimalFullWidth"/>
      <w:lvlText w:val="%1-"/>
      <w:lvlJc w:val="left"/>
      <w:pPr>
        <w:ind w:left="802" w:hanging="405"/>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num w:numId="1" w16cid:durableId="13741189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27D"/>
    <w:rsid w:val="00012B79"/>
    <w:rsid w:val="00014E51"/>
    <w:rsid w:val="00022AE8"/>
    <w:rsid w:val="0003362C"/>
    <w:rsid w:val="00052652"/>
    <w:rsid w:val="00054F91"/>
    <w:rsid w:val="000634C0"/>
    <w:rsid w:val="00075B8F"/>
    <w:rsid w:val="00085C01"/>
    <w:rsid w:val="000868A0"/>
    <w:rsid w:val="000A539E"/>
    <w:rsid w:val="000C2631"/>
    <w:rsid w:val="000D4A6A"/>
    <w:rsid w:val="000D4EBC"/>
    <w:rsid w:val="000F4CBD"/>
    <w:rsid w:val="00102391"/>
    <w:rsid w:val="00123C32"/>
    <w:rsid w:val="00126819"/>
    <w:rsid w:val="001739EF"/>
    <w:rsid w:val="0018506F"/>
    <w:rsid w:val="00190CDF"/>
    <w:rsid w:val="001B7AAB"/>
    <w:rsid w:val="001D2C21"/>
    <w:rsid w:val="001D40F0"/>
    <w:rsid w:val="001F034F"/>
    <w:rsid w:val="0024499D"/>
    <w:rsid w:val="00284BFD"/>
    <w:rsid w:val="00294D72"/>
    <w:rsid w:val="002A44F3"/>
    <w:rsid w:val="002A79FA"/>
    <w:rsid w:val="002B4E62"/>
    <w:rsid w:val="002C3704"/>
    <w:rsid w:val="002D0D9E"/>
    <w:rsid w:val="00301C9E"/>
    <w:rsid w:val="00311FF3"/>
    <w:rsid w:val="00315396"/>
    <w:rsid w:val="00331615"/>
    <w:rsid w:val="00332D8F"/>
    <w:rsid w:val="00347A40"/>
    <w:rsid w:val="0035443E"/>
    <w:rsid w:val="00360836"/>
    <w:rsid w:val="00363B6D"/>
    <w:rsid w:val="00371C9A"/>
    <w:rsid w:val="0037567A"/>
    <w:rsid w:val="00384679"/>
    <w:rsid w:val="003A4C77"/>
    <w:rsid w:val="003C237F"/>
    <w:rsid w:val="003C5C22"/>
    <w:rsid w:val="003E35A5"/>
    <w:rsid w:val="00403764"/>
    <w:rsid w:val="00426274"/>
    <w:rsid w:val="00434EF0"/>
    <w:rsid w:val="00444116"/>
    <w:rsid w:val="00465843"/>
    <w:rsid w:val="00467CA0"/>
    <w:rsid w:val="00487DED"/>
    <w:rsid w:val="004B03A0"/>
    <w:rsid w:val="004B14A5"/>
    <w:rsid w:val="004B76A6"/>
    <w:rsid w:val="004C2054"/>
    <w:rsid w:val="004D6F7D"/>
    <w:rsid w:val="004D784B"/>
    <w:rsid w:val="004E5A62"/>
    <w:rsid w:val="0050790C"/>
    <w:rsid w:val="00551AA0"/>
    <w:rsid w:val="005A573C"/>
    <w:rsid w:val="005B2D45"/>
    <w:rsid w:val="005D1880"/>
    <w:rsid w:val="005E3BEE"/>
    <w:rsid w:val="005F0F6F"/>
    <w:rsid w:val="005F70FF"/>
    <w:rsid w:val="0060278A"/>
    <w:rsid w:val="00612084"/>
    <w:rsid w:val="006254BE"/>
    <w:rsid w:val="00633203"/>
    <w:rsid w:val="00646A5D"/>
    <w:rsid w:val="00652CA2"/>
    <w:rsid w:val="00655432"/>
    <w:rsid w:val="00694C4A"/>
    <w:rsid w:val="006C31F4"/>
    <w:rsid w:val="006C7340"/>
    <w:rsid w:val="006D6E7E"/>
    <w:rsid w:val="006E1B18"/>
    <w:rsid w:val="006F6650"/>
    <w:rsid w:val="00701077"/>
    <w:rsid w:val="00712B3D"/>
    <w:rsid w:val="0072068E"/>
    <w:rsid w:val="007237A9"/>
    <w:rsid w:val="00726D62"/>
    <w:rsid w:val="007310D4"/>
    <w:rsid w:val="00746241"/>
    <w:rsid w:val="00753B14"/>
    <w:rsid w:val="0076539C"/>
    <w:rsid w:val="00765914"/>
    <w:rsid w:val="00781258"/>
    <w:rsid w:val="00791C2B"/>
    <w:rsid w:val="007926E8"/>
    <w:rsid w:val="007A1A5D"/>
    <w:rsid w:val="007A1E70"/>
    <w:rsid w:val="007A4179"/>
    <w:rsid w:val="007A59E2"/>
    <w:rsid w:val="007B13BD"/>
    <w:rsid w:val="007B25DF"/>
    <w:rsid w:val="007D0826"/>
    <w:rsid w:val="007D2646"/>
    <w:rsid w:val="007D3C58"/>
    <w:rsid w:val="007F2A1F"/>
    <w:rsid w:val="00800FEA"/>
    <w:rsid w:val="00801949"/>
    <w:rsid w:val="0082217B"/>
    <w:rsid w:val="00836BC1"/>
    <w:rsid w:val="00850894"/>
    <w:rsid w:val="0085651E"/>
    <w:rsid w:val="00883237"/>
    <w:rsid w:val="00886478"/>
    <w:rsid w:val="00895528"/>
    <w:rsid w:val="008B2BF2"/>
    <w:rsid w:val="008B5A1B"/>
    <w:rsid w:val="008B6C9C"/>
    <w:rsid w:val="008C18BC"/>
    <w:rsid w:val="008C35DB"/>
    <w:rsid w:val="008D0522"/>
    <w:rsid w:val="008D1AF3"/>
    <w:rsid w:val="008E10C9"/>
    <w:rsid w:val="008F31CD"/>
    <w:rsid w:val="008F4D29"/>
    <w:rsid w:val="008F6132"/>
    <w:rsid w:val="00901560"/>
    <w:rsid w:val="009153E5"/>
    <w:rsid w:val="009212A4"/>
    <w:rsid w:val="0093447B"/>
    <w:rsid w:val="00944A95"/>
    <w:rsid w:val="00950CF6"/>
    <w:rsid w:val="00952DCA"/>
    <w:rsid w:val="0095312D"/>
    <w:rsid w:val="009633D4"/>
    <w:rsid w:val="00963C62"/>
    <w:rsid w:val="00964B73"/>
    <w:rsid w:val="0096623A"/>
    <w:rsid w:val="00975EAB"/>
    <w:rsid w:val="0097647D"/>
    <w:rsid w:val="0098687C"/>
    <w:rsid w:val="009954B5"/>
    <w:rsid w:val="009B1550"/>
    <w:rsid w:val="009C701E"/>
    <w:rsid w:val="009E5EBF"/>
    <w:rsid w:val="009E651D"/>
    <w:rsid w:val="009F4BE3"/>
    <w:rsid w:val="00A04BE3"/>
    <w:rsid w:val="00A06115"/>
    <w:rsid w:val="00A1068D"/>
    <w:rsid w:val="00A43232"/>
    <w:rsid w:val="00A500BB"/>
    <w:rsid w:val="00A5027D"/>
    <w:rsid w:val="00A53FEA"/>
    <w:rsid w:val="00A579B7"/>
    <w:rsid w:val="00A66546"/>
    <w:rsid w:val="00A92C34"/>
    <w:rsid w:val="00AA34B8"/>
    <w:rsid w:val="00AB0BF9"/>
    <w:rsid w:val="00AB2506"/>
    <w:rsid w:val="00AC2737"/>
    <w:rsid w:val="00AD07B8"/>
    <w:rsid w:val="00AF0B8A"/>
    <w:rsid w:val="00AF658D"/>
    <w:rsid w:val="00B05107"/>
    <w:rsid w:val="00B05627"/>
    <w:rsid w:val="00B15C12"/>
    <w:rsid w:val="00B24C0B"/>
    <w:rsid w:val="00B3403C"/>
    <w:rsid w:val="00B40E4E"/>
    <w:rsid w:val="00B42E19"/>
    <w:rsid w:val="00B452F2"/>
    <w:rsid w:val="00B4551F"/>
    <w:rsid w:val="00B65C14"/>
    <w:rsid w:val="00B70A67"/>
    <w:rsid w:val="00B77EC8"/>
    <w:rsid w:val="00B87CBD"/>
    <w:rsid w:val="00B96082"/>
    <w:rsid w:val="00BA5294"/>
    <w:rsid w:val="00BA53AA"/>
    <w:rsid w:val="00BB1CD3"/>
    <w:rsid w:val="00BF3247"/>
    <w:rsid w:val="00C017CB"/>
    <w:rsid w:val="00C02079"/>
    <w:rsid w:val="00C07173"/>
    <w:rsid w:val="00C172E9"/>
    <w:rsid w:val="00C17433"/>
    <w:rsid w:val="00C21956"/>
    <w:rsid w:val="00C22646"/>
    <w:rsid w:val="00C3133B"/>
    <w:rsid w:val="00C52CA3"/>
    <w:rsid w:val="00C57BF1"/>
    <w:rsid w:val="00C62022"/>
    <w:rsid w:val="00C81347"/>
    <w:rsid w:val="00C83005"/>
    <w:rsid w:val="00C9737F"/>
    <w:rsid w:val="00CB1F7A"/>
    <w:rsid w:val="00CC72D7"/>
    <w:rsid w:val="00CD4C3D"/>
    <w:rsid w:val="00CE5899"/>
    <w:rsid w:val="00CF60B7"/>
    <w:rsid w:val="00D05950"/>
    <w:rsid w:val="00D15D11"/>
    <w:rsid w:val="00D270A0"/>
    <w:rsid w:val="00D31E52"/>
    <w:rsid w:val="00D52B2A"/>
    <w:rsid w:val="00D65C7A"/>
    <w:rsid w:val="00D744A5"/>
    <w:rsid w:val="00D74C58"/>
    <w:rsid w:val="00D7673B"/>
    <w:rsid w:val="00D83D98"/>
    <w:rsid w:val="00D97468"/>
    <w:rsid w:val="00DA2EF0"/>
    <w:rsid w:val="00DA7AC6"/>
    <w:rsid w:val="00DB1F3D"/>
    <w:rsid w:val="00DE709A"/>
    <w:rsid w:val="00DF0653"/>
    <w:rsid w:val="00DF0E53"/>
    <w:rsid w:val="00DF2B2F"/>
    <w:rsid w:val="00E03E05"/>
    <w:rsid w:val="00E20D9C"/>
    <w:rsid w:val="00E37303"/>
    <w:rsid w:val="00E464AD"/>
    <w:rsid w:val="00E50090"/>
    <w:rsid w:val="00E5678F"/>
    <w:rsid w:val="00E62F33"/>
    <w:rsid w:val="00E63867"/>
    <w:rsid w:val="00E706A4"/>
    <w:rsid w:val="00E72B5F"/>
    <w:rsid w:val="00E73CE3"/>
    <w:rsid w:val="00E91C1E"/>
    <w:rsid w:val="00E925D2"/>
    <w:rsid w:val="00EB09AE"/>
    <w:rsid w:val="00EB313E"/>
    <w:rsid w:val="00EC0DCA"/>
    <w:rsid w:val="00EC2D5F"/>
    <w:rsid w:val="00EC38C4"/>
    <w:rsid w:val="00EC7F35"/>
    <w:rsid w:val="00ED27C3"/>
    <w:rsid w:val="00ED7012"/>
    <w:rsid w:val="00EE6CDD"/>
    <w:rsid w:val="00EE7854"/>
    <w:rsid w:val="00EF21C3"/>
    <w:rsid w:val="00EF4A02"/>
    <w:rsid w:val="00EF4E74"/>
    <w:rsid w:val="00F03EE5"/>
    <w:rsid w:val="00F102E2"/>
    <w:rsid w:val="00F13ED3"/>
    <w:rsid w:val="00F2232F"/>
    <w:rsid w:val="00F24EC7"/>
    <w:rsid w:val="00F52DC7"/>
    <w:rsid w:val="00F6536F"/>
    <w:rsid w:val="00F80B34"/>
    <w:rsid w:val="00F83D13"/>
    <w:rsid w:val="00F9000E"/>
    <w:rsid w:val="00F97A27"/>
    <w:rsid w:val="00FA4DD6"/>
    <w:rsid w:val="00FB2461"/>
    <w:rsid w:val="00FB61E8"/>
    <w:rsid w:val="00FE4612"/>
    <w:rsid w:val="00FF1A2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D66257"/>
  <w15:docId w15:val="{AD2F95FC-BD0D-4D58-97AD-636B37652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Heading1">
    <w:name w:val="heading 1"/>
    <w:aliases w:val="- -"/>
    <w:basedOn w:val="a"/>
    <w:link w:val="Heading1Char"/>
    <w:uiPriority w:val="9"/>
    <w:qFormat/>
    <w:rsid w:val="00CB1F7A"/>
    <w:pPr>
      <w:outlineLvl w:val="0"/>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الحاشية"/>
    <w:basedOn w:val="FootnoteText"/>
    <w:uiPriority w:val="1"/>
    <w:qFormat/>
    <w:rsid w:val="00CB1F7A"/>
    <w:pPr>
      <w:spacing w:line="240" w:lineRule="auto"/>
      <w:ind w:firstLine="0"/>
    </w:pPr>
    <w:rPr>
      <w:sz w:val="22"/>
      <w:szCs w:val="22"/>
    </w:rPr>
  </w:style>
  <w:style w:type="character" w:customStyle="1" w:styleId="Heading1Char">
    <w:name w:val="Heading 1 Char"/>
    <w:aliases w:val="- - Char"/>
    <w:basedOn w:val="DefaultParagraphFont"/>
    <w:link w:val="Heading1"/>
    <w:uiPriority w:val="9"/>
    <w:rsid w:val="00CB1F7A"/>
    <w:rPr>
      <w:rFonts w:ascii="almohsin" w:hAnsi="almohsin" w:cs="almohsin"/>
      <w:sz w:val="22"/>
      <w:szCs w:val="22"/>
    </w:rPr>
  </w:style>
  <w:style w:type="paragraph" w:styleId="FootnoteText">
    <w:name w:val="footnote text"/>
    <w:basedOn w:val="Normal"/>
    <w:link w:val="FootnoteText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FootnoteTextChar">
    <w:name w:val="Footnote Text Char"/>
    <w:basedOn w:val="DefaultParagraphFont"/>
    <w:link w:val="FootnoteText"/>
    <w:uiPriority w:val="99"/>
    <w:semiHidden/>
    <w:rsid w:val="003C5C22"/>
    <w:rPr>
      <w:rFonts w:ascii="almohsin" w:hAnsi="almohsin" w:cs="almohsin"/>
    </w:rPr>
  </w:style>
  <w:style w:type="character" w:customStyle="1" w:styleId="Char">
    <w:name w:val="المحسن Char"/>
    <w:basedOn w:val="DefaultParagraphFont"/>
    <w:rsid w:val="003A4C77"/>
    <w:rPr>
      <w:rFonts w:ascii="almohsin" w:hAnsi="almohsin" w:cs="almohsin"/>
      <w:sz w:val="30"/>
      <w:szCs w:val="30"/>
    </w:rPr>
  </w:style>
  <w:style w:type="paragraph" w:customStyle="1" w:styleId="a0">
    <w:name w:val="عنوان باب"/>
    <w:basedOn w:val="Normal"/>
    <w:link w:val="Char0"/>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0">
    <w:name w:val="عنوان باب Char"/>
    <w:basedOn w:val="DefaultParagraphFont"/>
    <w:link w:val="a0"/>
    <w:rsid w:val="00FB61E8"/>
    <w:rPr>
      <w:rFonts w:ascii="almohsin" w:hAnsi="almohsin" w:cs="mylotus"/>
      <w:b/>
      <w:bCs/>
      <w:sz w:val="50"/>
      <w:szCs w:val="50"/>
    </w:rPr>
  </w:style>
  <w:style w:type="paragraph" w:customStyle="1" w:styleId="a">
    <w:name w:val="المتن"/>
    <w:basedOn w:val="Normal"/>
    <w:link w:val="Char1"/>
    <w:qFormat/>
    <w:rsid w:val="00964B73"/>
    <w:pPr>
      <w:bidi w:val="0"/>
      <w:spacing w:line="228" w:lineRule="auto"/>
      <w:ind w:firstLine="397"/>
    </w:pPr>
    <w:rPr>
      <w:rFonts w:ascii="almohsin" w:eastAsia="Times New Roman" w:hAnsi="almohsin" w:cs="mylotus"/>
      <w:sz w:val="30"/>
      <w:lang w:val="en-US"/>
    </w:rPr>
  </w:style>
  <w:style w:type="character" w:customStyle="1" w:styleId="Char1">
    <w:name w:val="المتن Char"/>
    <w:basedOn w:val="DefaultParagraphFont"/>
    <w:link w:val="a"/>
    <w:rsid w:val="00964B73"/>
    <w:rPr>
      <w:rFonts w:ascii="almohsin" w:hAnsi="almohsin" w:cs="mylotus"/>
      <w:sz w:val="30"/>
      <w:szCs w:val="32"/>
    </w:rPr>
  </w:style>
  <w:style w:type="paragraph" w:customStyle="1" w:styleId="a1">
    <w:name w:val="عنوان رئيس"/>
    <w:basedOn w:val="a"/>
    <w:link w:val="Char2"/>
    <w:qFormat/>
    <w:rsid w:val="00FB61E8"/>
    <w:pPr>
      <w:ind w:firstLine="0"/>
      <w:jc w:val="center"/>
    </w:pPr>
    <w:rPr>
      <w:b/>
      <w:bCs/>
      <w:sz w:val="40"/>
      <w:szCs w:val="40"/>
    </w:rPr>
  </w:style>
  <w:style w:type="character" w:customStyle="1" w:styleId="Char2">
    <w:name w:val="عنوان رئيس Char"/>
    <w:basedOn w:val="Char1"/>
    <w:link w:val="a1"/>
    <w:rsid w:val="00FB61E8"/>
    <w:rPr>
      <w:rFonts w:ascii="almohsin" w:hAnsi="almohsin" w:cs="mylotus"/>
      <w:b/>
      <w:bCs/>
      <w:sz w:val="40"/>
      <w:szCs w:val="40"/>
    </w:rPr>
  </w:style>
  <w:style w:type="paragraph" w:customStyle="1" w:styleId="a2">
    <w:name w:val="عنوان فرع"/>
    <w:basedOn w:val="a1"/>
    <w:link w:val="Char3"/>
    <w:qFormat/>
    <w:rsid w:val="00CB1F7A"/>
  </w:style>
  <w:style w:type="character" w:customStyle="1" w:styleId="Char3">
    <w:name w:val="عنوان فرع Char"/>
    <w:basedOn w:val="Char2"/>
    <w:link w:val="a2"/>
    <w:rsid w:val="00CB1F7A"/>
    <w:rPr>
      <w:rFonts w:ascii="almohsin" w:hAnsi="almohsin" w:cs="almohsin"/>
      <w:b/>
      <w:bCs/>
      <w:sz w:val="40"/>
      <w:szCs w:val="40"/>
    </w:rPr>
  </w:style>
  <w:style w:type="paragraph" w:styleId="Header">
    <w:name w:val="header"/>
    <w:aliases w:val="رأس صفحة"/>
    <w:basedOn w:val="Normal"/>
    <w:link w:val="HeaderChar"/>
    <w:uiPriority w:val="99"/>
    <w:unhideWhenUsed/>
    <w:rsid w:val="00A5027D"/>
    <w:pPr>
      <w:tabs>
        <w:tab w:val="center" w:pos="4513"/>
        <w:tab w:val="right" w:pos="9026"/>
      </w:tabs>
      <w:spacing w:line="240" w:lineRule="auto"/>
    </w:pPr>
  </w:style>
  <w:style w:type="character" w:customStyle="1" w:styleId="HeaderChar">
    <w:name w:val="Header Char"/>
    <w:aliases w:val="رأس صفحة Char"/>
    <w:basedOn w:val="DefaultParagraphFont"/>
    <w:link w:val="Header"/>
    <w:uiPriority w:val="99"/>
    <w:rsid w:val="00A5027D"/>
    <w:rPr>
      <w:rFonts w:ascii="Simplified Arabic" w:eastAsia="Calibri" w:hAnsi="Simplified Arabic" w:cs="Simplified Arabic"/>
      <w:sz w:val="32"/>
      <w:szCs w:val="32"/>
      <w:lang w:val="en"/>
    </w:rPr>
  </w:style>
  <w:style w:type="paragraph" w:styleId="Footer">
    <w:name w:val="footer"/>
    <w:basedOn w:val="Normal"/>
    <w:link w:val="FooterChar"/>
    <w:uiPriority w:val="99"/>
    <w:unhideWhenUsed/>
    <w:rsid w:val="00A5027D"/>
    <w:pPr>
      <w:tabs>
        <w:tab w:val="center" w:pos="4513"/>
        <w:tab w:val="right" w:pos="9026"/>
      </w:tabs>
      <w:spacing w:line="240" w:lineRule="auto"/>
    </w:pPr>
  </w:style>
  <w:style w:type="character" w:customStyle="1" w:styleId="FooterChar">
    <w:name w:val="Footer Char"/>
    <w:basedOn w:val="DefaultParagraphFont"/>
    <w:link w:val="Footer"/>
    <w:uiPriority w:val="99"/>
    <w:rsid w:val="00A5027D"/>
    <w:rPr>
      <w:rFonts w:ascii="Simplified Arabic" w:eastAsia="Calibri" w:hAnsi="Simplified Arabic" w:cs="Simplified Arabic"/>
      <w:sz w:val="32"/>
      <w:szCs w:val="3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262DF9-27D8-47E2-86D4-D41136287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0</TotalTime>
  <Pages>4</Pages>
  <Words>1016</Words>
  <Characters>5792</Characters>
  <Application>Microsoft Office Word</Application>
  <DocSecurity>0</DocSecurity>
  <Lines>48</Lines>
  <Paragraphs>13</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Enjoy My Fine Releases.</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عقيل آل انتيف</dc:creator>
  <cp:lastModifiedBy>hadi al khunaizi</cp:lastModifiedBy>
  <cp:revision>2</cp:revision>
  <cp:lastPrinted>2022-11-19T18:59:00Z</cp:lastPrinted>
  <dcterms:created xsi:type="dcterms:W3CDTF">2023-11-02T17:25:00Z</dcterms:created>
  <dcterms:modified xsi:type="dcterms:W3CDTF">2023-11-02T17:25:00Z</dcterms:modified>
</cp:coreProperties>
</file>