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A028413"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359A8103" w14:textId="77777777" w:rsidR="00FF05E9" w:rsidRPr="00FF05E9" w:rsidRDefault="00FF05E9" w:rsidP="00FF05E9">
      <w:pPr>
        <w:pStyle w:val="a"/>
        <w:bidi/>
        <w:rPr>
          <w:rFonts w:ascii="mylotus" w:hAnsi="mylotus"/>
          <w:sz w:val="32"/>
          <w:rtl/>
        </w:rPr>
      </w:pPr>
      <w:r w:rsidRPr="00FF05E9">
        <w:rPr>
          <w:rFonts w:ascii="mylotus" w:hAnsi="mylotus"/>
          <w:sz w:val="32"/>
          <w:rtl/>
        </w:rPr>
        <w:t>والمتحصل من مطلب المحقق العراقي قدس سره أن الواجب التوصلي - أي: الذي ينتفي بفعل الغير - شبيه بالواجب التخييري من حيث الملاك، ولذلك أثران</w:t>
      </w:r>
      <w:r w:rsidRPr="00FF05E9">
        <w:rPr>
          <w:rFonts w:ascii="mylotus" w:hAnsi="mylotus"/>
          <w:sz w:val="32"/>
        </w:rPr>
        <w:t>:</w:t>
      </w:r>
    </w:p>
    <w:p w14:paraId="03542ECE" w14:textId="0514A071" w:rsidR="00FF05E9" w:rsidRPr="00FF05E9" w:rsidRDefault="00FF05E9" w:rsidP="00FF05E9">
      <w:pPr>
        <w:pStyle w:val="a"/>
        <w:bidi/>
        <w:rPr>
          <w:rFonts w:ascii="mylotus" w:hAnsi="mylotus"/>
          <w:sz w:val="32"/>
          <w:rtl/>
        </w:rPr>
      </w:pPr>
      <w:r w:rsidRPr="00FF05E9">
        <w:rPr>
          <w:rFonts w:ascii="mylotus" w:hAnsi="mylotus"/>
          <w:sz w:val="32"/>
          <w:rtl/>
        </w:rPr>
        <w:t>الأثر الأول:</w:t>
      </w:r>
      <w:r>
        <w:rPr>
          <w:rFonts w:ascii="mylotus" w:hAnsi="mylotus"/>
          <w:sz w:val="32"/>
          <w:rtl/>
        </w:rPr>
        <w:t xml:space="preserve"> </w:t>
      </w:r>
      <w:r w:rsidRPr="00FF05E9">
        <w:rPr>
          <w:rFonts w:ascii="mylotus" w:hAnsi="mylotus"/>
          <w:sz w:val="32"/>
          <w:rtl/>
        </w:rPr>
        <w:t>كما أنه في الواجب التخييري - كوجوب الجامع بين صلاة الظهر وصلاة الجمعة - يعلم بأن الملاك في الجامع لا في خصوصية الظهر أو الجمعة، بل كلتا الخصوصيتين محقق للملاك لا لخصوصيته بل لكونه مصداقا للجامع، فكذلك في الواجب التوصلي، فإنه إذا قام الدليل على أن فعل الغير نافٍ للتكليف أي أن قضاء غير الولي للفوائت عن الميت نافٍ للتكليف في حق الولي، فمتى تصدى غير الولي لقضاء الفوائت عن الميت لم يؤمر الولي بالقضاء عنه، ف</w:t>
      </w:r>
      <w:r>
        <w:rPr>
          <w:rFonts w:ascii="mylotus" w:hAnsi="mylotus" w:hint="cs"/>
          <w:sz w:val="32"/>
          <w:rtl/>
        </w:rPr>
        <w:t>إ</w:t>
      </w:r>
      <w:r w:rsidRPr="00FF05E9">
        <w:rPr>
          <w:rFonts w:ascii="mylotus" w:hAnsi="mylotus"/>
          <w:sz w:val="32"/>
          <w:rtl/>
        </w:rPr>
        <w:t>ن قيام الدليل على ذلك</w:t>
      </w:r>
      <w:r>
        <w:rPr>
          <w:rFonts w:ascii="mylotus" w:hAnsi="mylotus"/>
          <w:sz w:val="32"/>
          <w:rtl/>
        </w:rPr>
        <w:t xml:space="preserve"> </w:t>
      </w:r>
      <w:r w:rsidRPr="00FF05E9">
        <w:rPr>
          <w:rFonts w:ascii="mylotus" w:hAnsi="mylotus"/>
          <w:sz w:val="32"/>
          <w:rtl/>
        </w:rPr>
        <w:t>يكشف عن أن الملاك في نفس القضاء، بلا خصوصية للفاعل في ذلك، فسواءً أكان المتصدي للقضاء هو الولي أو كان المتصدي للقضاء</w:t>
      </w:r>
      <w:r>
        <w:rPr>
          <w:rFonts w:ascii="mylotus" w:hAnsi="mylotus"/>
          <w:sz w:val="32"/>
          <w:rtl/>
        </w:rPr>
        <w:t xml:space="preserve"> </w:t>
      </w:r>
      <w:r w:rsidRPr="00FF05E9">
        <w:rPr>
          <w:rFonts w:ascii="mylotus" w:hAnsi="mylotus"/>
          <w:sz w:val="32"/>
          <w:rtl/>
        </w:rPr>
        <w:t>غيره فإن كليهما محقق للملاك ووافٍ به. فإذا كان الملاك في الجامع - وهو القضاء - فليس وجوب القضاء في حق الولي مشروطا بعدم تبرع غيره، بل وجوب القضاء في حق الولي في ظرف عدم تبرع غيره، فإن الفرق بين القضية الشرطية والقضية الحينية أن اعتبار</w:t>
      </w:r>
      <w:r>
        <w:rPr>
          <w:rFonts w:ascii="mylotus" w:hAnsi="mylotus"/>
          <w:sz w:val="32"/>
          <w:rtl/>
        </w:rPr>
        <w:t xml:space="preserve"> </w:t>
      </w:r>
      <w:r w:rsidRPr="00FF05E9">
        <w:rPr>
          <w:rFonts w:ascii="mylotus" w:hAnsi="mylotus"/>
          <w:sz w:val="32"/>
          <w:rtl/>
        </w:rPr>
        <w:t>الشرط يحتاج إلى ملاك، فلو أن المولى قال: (إن الولي مأمور بقضاء الفوائت بشرط عدم قضاء غيره) فلا بد للشرطية من ملاك، والفرض أن الملاك قائم بأصل القضاء لا غير وليس قائما بالخصوصية، أي: ليس الملاك في قضاء الولي أو في قضاء الغير بل الملاك في أصل القضاء من دون خصوصية لا للولي ولا لغيره، فلا معنى حينئذ لأن يقال: إن وجوب القضاء في حق الولي مشروط بعدم قضاء غيره، لأن هذه الشرطية لا ملاك لها، فلا محالة تتعين الظرفية أي يجب القضاء على الولي في ظرف عدم قضاء الغير لا بشرطه</w:t>
      </w:r>
      <w:r w:rsidRPr="00FF05E9">
        <w:rPr>
          <w:rFonts w:ascii="mylotus" w:hAnsi="mylotus"/>
          <w:sz w:val="32"/>
        </w:rPr>
        <w:t>.</w:t>
      </w:r>
    </w:p>
    <w:p w14:paraId="4F9438BA" w14:textId="4ABBA8D4" w:rsidR="00FF05E9" w:rsidRPr="00FF05E9" w:rsidRDefault="00FF05E9" w:rsidP="00FF05E9">
      <w:pPr>
        <w:pStyle w:val="a"/>
        <w:bidi/>
        <w:rPr>
          <w:rFonts w:ascii="mylotus" w:hAnsi="mylotus"/>
          <w:sz w:val="32"/>
          <w:rtl/>
        </w:rPr>
      </w:pPr>
      <w:r w:rsidRPr="00FF05E9">
        <w:rPr>
          <w:rFonts w:ascii="mylotus" w:hAnsi="mylotus"/>
          <w:b/>
          <w:bCs/>
          <w:sz w:val="32"/>
          <w:rtl/>
        </w:rPr>
        <w:t>الأثر الثاني:</w:t>
      </w:r>
      <w:r w:rsidRPr="00FF05E9">
        <w:rPr>
          <w:rFonts w:ascii="mylotus" w:hAnsi="mylotus"/>
          <w:sz w:val="32"/>
          <w:rtl/>
        </w:rPr>
        <w:t xml:space="preserve"> حيث يعلم المكلف أن الملاك في القضاء، لا في قضائه ولا في قضاء غيره، فمقتضى ذلك أن العقل - لا الشرع - يرشده إلى التخيير بين أن يتصدى بنفسه للقضاء أو يقوم بالتسبيب إلى صدور القضاء من غيره، فإن كلا الأمرين </w:t>
      </w:r>
      <w:r>
        <w:rPr>
          <w:rFonts w:ascii="mylotus" w:hAnsi="mylotus" w:hint="cs"/>
          <w:sz w:val="32"/>
          <w:rtl/>
        </w:rPr>
        <w:t xml:space="preserve">- </w:t>
      </w:r>
      <w:r w:rsidRPr="00FF05E9">
        <w:rPr>
          <w:rFonts w:ascii="mylotus" w:hAnsi="mylotus"/>
          <w:sz w:val="32"/>
          <w:rtl/>
        </w:rPr>
        <w:t xml:space="preserve">المباشرة والتسبيب </w:t>
      </w:r>
      <w:r>
        <w:rPr>
          <w:rFonts w:ascii="mylotus" w:hAnsi="mylotus" w:hint="cs"/>
          <w:sz w:val="32"/>
          <w:rtl/>
        </w:rPr>
        <w:t xml:space="preserve">- </w:t>
      </w:r>
      <w:r w:rsidRPr="00FF05E9">
        <w:rPr>
          <w:rFonts w:ascii="mylotus" w:hAnsi="mylotus"/>
          <w:sz w:val="32"/>
          <w:rtl/>
        </w:rPr>
        <w:t>حفظ لملاك المولى، لعلمه بأن للمولى ملاكا لزوميا في قضاء الفوائت عن الولي، فوظيفة العبودية تقتضي</w:t>
      </w:r>
      <w:r>
        <w:rPr>
          <w:rFonts w:ascii="mylotus" w:hAnsi="mylotus"/>
          <w:sz w:val="32"/>
          <w:rtl/>
        </w:rPr>
        <w:t xml:space="preserve"> </w:t>
      </w:r>
      <w:r w:rsidRPr="00FF05E9">
        <w:rPr>
          <w:rFonts w:ascii="mylotus" w:hAnsi="mylotus"/>
          <w:sz w:val="32"/>
          <w:rtl/>
        </w:rPr>
        <w:t>التصدي لحفظ ملاك المولى، فلأجل ذلك يرشده العقل إلى التخيير بين المباشرة والتسبيب لقضاء الغير حفظا للملاك اللزومي للمولى، وإلا فإن الشارع لم يخيره في شيء</w:t>
      </w:r>
      <w:r w:rsidRPr="00FF05E9">
        <w:rPr>
          <w:rFonts w:ascii="mylotus" w:hAnsi="mylotus"/>
          <w:sz w:val="32"/>
        </w:rPr>
        <w:t>.</w:t>
      </w:r>
    </w:p>
    <w:p w14:paraId="045111A4" w14:textId="43A6D164" w:rsidR="00FF05E9" w:rsidRPr="00FF05E9" w:rsidRDefault="00FF05E9" w:rsidP="00FF05E9">
      <w:pPr>
        <w:pStyle w:val="a"/>
        <w:bidi/>
        <w:rPr>
          <w:rFonts w:ascii="mylotus" w:hAnsi="mylotus"/>
          <w:sz w:val="32"/>
          <w:rtl/>
        </w:rPr>
      </w:pPr>
      <w:r w:rsidRPr="00FF05E9">
        <w:rPr>
          <w:rFonts w:ascii="mylotus" w:hAnsi="mylotus"/>
          <w:sz w:val="32"/>
          <w:rtl/>
        </w:rPr>
        <w:lastRenderedPageBreak/>
        <w:t>هذا تمام المقدمة</w:t>
      </w:r>
      <w:r>
        <w:rPr>
          <w:rFonts w:ascii="mylotus" w:hAnsi="mylotus" w:hint="cs"/>
          <w:sz w:val="32"/>
          <w:rtl/>
        </w:rPr>
        <w:t xml:space="preserve">، </w:t>
      </w:r>
      <w:r w:rsidRPr="00FF05E9">
        <w:rPr>
          <w:rFonts w:ascii="mylotus" w:hAnsi="mylotus"/>
          <w:sz w:val="32"/>
          <w:rtl/>
        </w:rPr>
        <w:t>وأما بيان مقتضى الأصل العملي بناءً عليها فقد أفاد بأنا وإن قلنا في باب دوران الأمر بين التعيين والتخيير بقاعدة الاشتغال وأن مقتضاها التعيين ولكننا في المقام نقول بالبراءة، والسر في ذلك أنه في باب دوران الأمر بين التعيين والتخيير يوجد علم إجمالي منجز، وهو الذي اقتضى الاشتغال والتعيين. مثلا: إذا لم يدر المكلف هل يجب عليه يوم الجمعة الظهر أو أنه مخير بين الظهر والجمعة، فالظهر معلومة على كل حال تعيينا أو تخييرا، ولكن هنا علم إجمالي منجز، وهو إما أن تجب الظهر على كل حال أو تجب الجمعة في فرض ترك الظهر، لأنه إن كان مخاطبا بأمر تعييني - وهو الأمر بالظهر - فهي واجبة على كل حال، وإن كان مخاطبا بأمر تخييري فالجمعة واجبة إن ترك الظهر، ومقتضى منجزية هذا العلم الإجمالي أن يجمع بينهما، ولكنه يعلم بأنه متى ما أتى بالظهر فقد فرغت العهدة من المعلوم بال</w:t>
      </w:r>
      <w:r>
        <w:rPr>
          <w:rFonts w:ascii="mylotus" w:hAnsi="mylotus" w:hint="cs"/>
          <w:sz w:val="32"/>
          <w:rtl/>
        </w:rPr>
        <w:t>إ</w:t>
      </w:r>
      <w:r w:rsidRPr="00FF05E9">
        <w:rPr>
          <w:rFonts w:ascii="mylotus" w:hAnsi="mylotus"/>
          <w:sz w:val="32"/>
          <w:rtl/>
        </w:rPr>
        <w:t>جمال، لأن الظهر مصداق للمأمور</w:t>
      </w:r>
      <w:r>
        <w:rPr>
          <w:rFonts w:ascii="mylotus" w:hAnsi="mylotus" w:hint="cs"/>
          <w:sz w:val="32"/>
          <w:rtl/>
        </w:rPr>
        <w:t xml:space="preserve"> </w:t>
      </w:r>
      <w:r w:rsidRPr="00FF05E9">
        <w:rPr>
          <w:rFonts w:ascii="mylotus" w:hAnsi="mylotus"/>
          <w:sz w:val="32"/>
          <w:rtl/>
        </w:rPr>
        <w:t>به تعيينا أو تخييرا،</w:t>
      </w:r>
      <w:r>
        <w:rPr>
          <w:rFonts w:ascii="mylotus" w:hAnsi="mylotus" w:hint="cs"/>
          <w:sz w:val="32"/>
          <w:rtl/>
        </w:rPr>
        <w:t xml:space="preserve"> </w:t>
      </w:r>
      <w:r w:rsidRPr="00FF05E9">
        <w:rPr>
          <w:rFonts w:ascii="mylotus" w:hAnsi="mylotus"/>
          <w:sz w:val="32"/>
          <w:rtl/>
        </w:rPr>
        <w:t>فمقتضى دوران الأمر بين التعيين والتخيير هو التعيين بهذه النكتة، أي نكتة العلم الإجمالي المنجز</w:t>
      </w:r>
      <w:r w:rsidRPr="00FF05E9">
        <w:rPr>
          <w:rFonts w:ascii="mylotus" w:hAnsi="mylotus"/>
          <w:sz w:val="32"/>
        </w:rPr>
        <w:t>.</w:t>
      </w:r>
    </w:p>
    <w:p w14:paraId="351E716F" w14:textId="5FB436D6" w:rsidR="00FF05E9" w:rsidRPr="00FF05E9" w:rsidRDefault="00FF05E9" w:rsidP="00FF05E9">
      <w:pPr>
        <w:pStyle w:val="a"/>
        <w:bidi/>
        <w:rPr>
          <w:rFonts w:ascii="mylotus" w:hAnsi="mylotus"/>
          <w:sz w:val="32"/>
          <w:rtl/>
        </w:rPr>
      </w:pPr>
      <w:r w:rsidRPr="00FF05E9">
        <w:rPr>
          <w:rFonts w:ascii="mylotus" w:hAnsi="mylotus"/>
          <w:sz w:val="32"/>
          <w:rtl/>
        </w:rPr>
        <w:t>وأما</w:t>
      </w:r>
      <w:r>
        <w:rPr>
          <w:rFonts w:ascii="mylotus" w:hAnsi="mylotus"/>
          <w:sz w:val="32"/>
          <w:rtl/>
        </w:rPr>
        <w:t xml:space="preserve"> </w:t>
      </w:r>
      <w:r w:rsidRPr="00FF05E9">
        <w:rPr>
          <w:rFonts w:ascii="mylotus" w:hAnsi="mylotus"/>
          <w:sz w:val="32"/>
          <w:rtl/>
        </w:rPr>
        <w:t>محل البحث وهو الواجب التوصلي نحو أنه يجب على الولي</w:t>
      </w:r>
      <w:r>
        <w:rPr>
          <w:rFonts w:ascii="mylotus" w:hAnsi="mylotus"/>
          <w:sz w:val="32"/>
          <w:rtl/>
        </w:rPr>
        <w:t xml:space="preserve"> </w:t>
      </w:r>
      <w:r w:rsidRPr="00FF05E9">
        <w:rPr>
          <w:rFonts w:ascii="mylotus" w:hAnsi="mylotus"/>
          <w:sz w:val="32"/>
          <w:rtl/>
        </w:rPr>
        <w:t>قضاء الفوائت عن الميت إن لم يقض غيره فلا يوجد علم إجمالي منجز، والسر في ذلك أن المكلف يعلم تفصيلا أنه خوطب بقضاء الفوائت عن الميت، لكنه حيث لا يعقل أن يؤمر بالجامع بين فعل نفسه وتبرع غيره لكون تبرع غيره فعلا خارجا عن قدرته واختياره، فلا تخيير في المقام - كما في الواجب التخييري - مضافا الى أن الحكم المعلوم تفصيلا</w:t>
      </w:r>
      <w:r>
        <w:rPr>
          <w:rFonts w:ascii="mylotus" w:hAnsi="mylotus"/>
          <w:sz w:val="32"/>
          <w:rtl/>
        </w:rPr>
        <w:t xml:space="preserve"> </w:t>
      </w:r>
      <w:r w:rsidRPr="00FF05E9">
        <w:rPr>
          <w:rFonts w:ascii="mylotus" w:hAnsi="mylotus"/>
          <w:sz w:val="32"/>
          <w:rtl/>
        </w:rPr>
        <w:t>هو الوجوب في ظرف عدم قضاء غيره</w:t>
      </w:r>
      <w:r w:rsidRPr="00FF05E9">
        <w:rPr>
          <w:rFonts w:ascii="mylotus" w:hAnsi="mylotus"/>
          <w:sz w:val="32"/>
        </w:rPr>
        <w:t xml:space="preserve"> .</w:t>
      </w:r>
    </w:p>
    <w:p w14:paraId="6BF27348" w14:textId="54D3B2A9" w:rsidR="00FF05E9" w:rsidRPr="00FF05E9" w:rsidRDefault="00FF05E9" w:rsidP="00FF05E9">
      <w:pPr>
        <w:pStyle w:val="a"/>
        <w:bidi/>
        <w:rPr>
          <w:rFonts w:ascii="mylotus" w:hAnsi="mylotus"/>
          <w:sz w:val="32"/>
          <w:rtl/>
        </w:rPr>
      </w:pPr>
      <w:r w:rsidRPr="00FF05E9">
        <w:rPr>
          <w:rFonts w:ascii="mylotus" w:hAnsi="mylotus"/>
          <w:sz w:val="32"/>
          <w:rtl/>
        </w:rPr>
        <w:t>هذا في فرض العلم، وأما لو شك المكلف</w:t>
      </w:r>
      <w:r>
        <w:rPr>
          <w:rFonts w:ascii="mylotus" w:hAnsi="mylotus"/>
          <w:sz w:val="32"/>
          <w:rtl/>
        </w:rPr>
        <w:t xml:space="preserve"> </w:t>
      </w:r>
      <w:r w:rsidRPr="00FF05E9">
        <w:rPr>
          <w:rFonts w:ascii="mylotus" w:hAnsi="mylotus"/>
          <w:sz w:val="32"/>
          <w:rtl/>
        </w:rPr>
        <w:t>- بعد توجه</w:t>
      </w:r>
      <w:r>
        <w:rPr>
          <w:rFonts w:ascii="mylotus" w:hAnsi="mylotus"/>
          <w:sz w:val="32"/>
          <w:rtl/>
        </w:rPr>
        <w:t xml:space="preserve"> </w:t>
      </w:r>
      <w:r w:rsidRPr="00FF05E9">
        <w:rPr>
          <w:rFonts w:ascii="mylotus" w:hAnsi="mylotus"/>
          <w:sz w:val="32"/>
          <w:rtl/>
        </w:rPr>
        <w:t>أمر اليه</w:t>
      </w:r>
      <w:r>
        <w:rPr>
          <w:rFonts w:ascii="mylotus" w:hAnsi="mylotus"/>
          <w:sz w:val="32"/>
          <w:rtl/>
        </w:rPr>
        <w:t xml:space="preserve"> </w:t>
      </w:r>
      <w:r w:rsidRPr="00FF05E9">
        <w:rPr>
          <w:rFonts w:ascii="mylotus" w:hAnsi="mylotus"/>
          <w:sz w:val="32"/>
          <w:rtl/>
        </w:rPr>
        <w:t>بقضاء الفوائت - في أن قضاء غيره ينفي</w:t>
      </w:r>
      <w:r>
        <w:rPr>
          <w:rFonts w:ascii="mylotus" w:hAnsi="mylotus"/>
          <w:sz w:val="32"/>
          <w:rtl/>
        </w:rPr>
        <w:t xml:space="preserve"> </w:t>
      </w:r>
      <w:r w:rsidRPr="00FF05E9">
        <w:rPr>
          <w:rFonts w:ascii="mylotus" w:hAnsi="mylotus"/>
          <w:sz w:val="32"/>
          <w:rtl/>
        </w:rPr>
        <w:t>الأمر في حقه بحيث لاتكليف</w:t>
      </w:r>
      <w:r>
        <w:rPr>
          <w:rFonts w:ascii="mylotus" w:hAnsi="mylotus"/>
          <w:sz w:val="32"/>
          <w:rtl/>
        </w:rPr>
        <w:t xml:space="preserve"> </w:t>
      </w:r>
      <w:r w:rsidRPr="00FF05E9">
        <w:rPr>
          <w:rFonts w:ascii="mylotus" w:hAnsi="mylotus"/>
          <w:sz w:val="32"/>
          <w:rtl/>
        </w:rPr>
        <w:t xml:space="preserve">بالقضاء </w:t>
      </w:r>
      <w:r>
        <w:rPr>
          <w:rFonts w:ascii="mylotus" w:hAnsi="mylotus" w:hint="cs"/>
          <w:sz w:val="32"/>
          <w:rtl/>
        </w:rPr>
        <w:t>إ</w:t>
      </w:r>
      <w:r w:rsidRPr="00FF05E9">
        <w:rPr>
          <w:rFonts w:ascii="mylotus" w:hAnsi="mylotus"/>
          <w:sz w:val="32"/>
          <w:rtl/>
        </w:rPr>
        <w:t>لا</w:t>
      </w:r>
      <w:r>
        <w:rPr>
          <w:rFonts w:ascii="mylotus" w:hAnsi="mylotus"/>
          <w:sz w:val="32"/>
          <w:rtl/>
        </w:rPr>
        <w:t xml:space="preserve"> </w:t>
      </w:r>
      <w:r w:rsidRPr="00FF05E9">
        <w:rPr>
          <w:rFonts w:ascii="mylotus" w:hAnsi="mylotus"/>
          <w:sz w:val="32"/>
          <w:rtl/>
        </w:rPr>
        <w:t>في ظرف عدم قضاء الغير، فهو يشك في أن قضاء الغير ينفي الأمر عن نفسه أم لا؟ فمن الواضح حينئذ جريان البراءة، لأن الشك</w:t>
      </w:r>
      <w:r>
        <w:rPr>
          <w:rFonts w:ascii="mylotus" w:hAnsi="mylotus"/>
          <w:sz w:val="32"/>
          <w:rtl/>
        </w:rPr>
        <w:t xml:space="preserve"> </w:t>
      </w:r>
      <w:r w:rsidRPr="00FF05E9">
        <w:rPr>
          <w:rFonts w:ascii="mylotus" w:hAnsi="mylotus"/>
          <w:sz w:val="32"/>
          <w:rtl/>
        </w:rPr>
        <w:t>شك في حدوث التكليف، لاحتمال أن التكليف في حقه من الأساس في ظرف قضاء الغير، ، وهو مجرى للبراءة</w:t>
      </w:r>
      <w:r w:rsidRPr="00FF05E9">
        <w:rPr>
          <w:rFonts w:ascii="mylotus" w:hAnsi="mylotus"/>
          <w:sz w:val="32"/>
        </w:rPr>
        <w:t>.</w:t>
      </w:r>
    </w:p>
    <w:p w14:paraId="4F3D87B1" w14:textId="78DEBED4" w:rsidR="00FF05E9" w:rsidRPr="00FF05E9" w:rsidRDefault="00FF05E9" w:rsidP="00FF05E9">
      <w:pPr>
        <w:pStyle w:val="a"/>
        <w:bidi/>
        <w:rPr>
          <w:rFonts w:ascii="mylotus" w:hAnsi="mylotus"/>
          <w:sz w:val="32"/>
          <w:rtl/>
        </w:rPr>
      </w:pPr>
      <w:r w:rsidRPr="00FF05E9">
        <w:rPr>
          <w:rFonts w:ascii="mylotus" w:hAnsi="mylotus"/>
          <w:sz w:val="32"/>
          <w:rtl/>
        </w:rPr>
        <w:t>وبذلك يتضح</w:t>
      </w:r>
      <w:r>
        <w:rPr>
          <w:rFonts w:ascii="mylotus" w:hAnsi="mylotus"/>
          <w:sz w:val="32"/>
          <w:rtl/>
        </w:rPr>
        <w:t xml:space="preserve"> </w:t>
      </w:r>
      <w:r w:rsidRPr="00FF05E9">
        <w:rPr>
          <w:rFonts w:ascii="mylotus" w:hAnsi="mylotus"/>
          <w:sz w:val="32"/>
          <w:rtl/>
        </w:rPr>
        <w:t>الإشكال في كلام بعض الأعاظم قد</w:t>
      </w:r>
      <w:r>
        <w:rPr>
          <w:rFonts w:ascii="mylotus" w:hAnsi="mylotus" w:hint="cs"/>
          <w:sz w:val="32"/>
          <w:rtl/>
        </w:rPr>
        <w:t>س سر</w:t>
      </w:r>
      <w:r w:rsidRPr="00FF05E9">
        <w:rPr>
          <w:rFonts w:ascii="mylotus" w:hAnsi="mylotus"/>
          <w:sz w:val="32"/>
          <w:rtl/>
        </w:rPr>
        <w:t>ه</w:t>
      </w:r>
      <w:r>
        <w:rPr>
          <w:rFonts w:ascii="mylotus" w:hAnsi="mylotus"/>
          <w:sz w:val="32"/>
          <w:rtl/>
        </w:rPr>
        <w:t xml:space="preserve"> </w:t>
      </w:r>
      <w:r w:rsidRPr="00FF05E9">
        <w:rPr>
          <w:rFonts w:ascii="mylotus" w:hAnsi="mylotus"/>
          <w:sz w:val="32"/>
          <w:rtl/>
        </w:rPr>
        <w:t>وفتوى المشهور</w:t>
      </w:r>
      <w:r w:rsidRPr="00FF05E9">
        <w:rPr>
          <w:rFonts w:ascii="mylotus" w:hAnsi="mylotus"/>
          <w:sz w:val="32"/>
        </w:rPr>
        <w:t>.</w:t>
      </w:r>
    </w:p>
    <w:p w14:paraId="068B78EE" w14:textId="21088F1A" w:rsidR="00FF05E9" w:rsidRPr="00FF05E9" w:rsidRDefault="00FF05E9" w:rsidP="00FF05E9">
      <w:pPr>
        <w:pStyle w:val="a"/>
        <w:bidi/>
        <w:rPr>
          <w:rFonts w:ascii="mylotus" w:hAnsi="mylotus"/>
          <w:sz w:val="32"/>
          <w:rtl/>
        </w:rPr>
      </w:pPr>
      <w:r w:rsidRPr="00FF05E9">
        <w:rPr>
          <w:rFonts w:ascii="mylotus" w:hAnsi="mylotus"/>
          <w:sz w:val="32"/>
          <w:rtl/>
        </w:rPr>
        <w:t>أما بعض الأعاظم قد</w:t>
      </w:r>
      <w:r>
        <w:rPr>
          <w:rFonts w:ascii="mylotus" w:hAnsi="mylotus" w:hint="cs"/>
          <w:sz w:val="32"/>
          <w:rtl/>
        </w:rPr>
        <w:t>س سر</w:t>
      </w:r>
      <w:r w:rsidRPr="00FF05E9">
        <w:rPr>
          <w:rFonts w:ascii="mylotus" w:hAnsi="mylotus"/>
          <w:sz w:val="32"/>
          <w:rtl/>
        </w:rPr>
        <w:t>ه فقد قال بقاعدة الاشتغال، للشك في أن فعل الغير نافٍ للتكليف أم لا؟ مثلا إذا شك الولي في كفاية فعل الغير</w:t>
      </w:r>
      <w:r>
        <w:rPr>
          <w:rFonts w:ascii="mylotus" w:hAnsi="mylotus"/>
          <w:sz w:val="32"/>
          <w:rtl/>
        </w:rPr>
        <w:t xml:space="preserve"> </w:t>
      </w:r>
      <w:r w:rsidRPr="00FF05E9">
        <w:rPr>
          <w:rFonts w:ascii="mylotus" w:hAnsi="mylotus"/>
          <w:sz w:val="32"/>
          <w:rtl/>
        </w:rPr>
        <w:t>فمقتضى الاشتغال أن يقضي الفوائت عن الميت فإن الاشتغال اليقيني يقتضي الفراغ اليقيني، ولكن قد تبين بما ذكرناه أن المكلف لا يحرز أنه أمر من الأساس، لأنه يحتمل أن قضاء الغير يمنع توجه الأمر إليه لا أن المحتمل هو</w:t>
      </w:r>
      <w:r>
        <w:rPr>
          <w:rFonts w:ascii="mylotus" w:hAnsi="mylotus"/>
          <w:sz w:val="32"/>
          <w:rtl/>
        </w:rPr>
        <w:t xml:space="preserve"> </w:t>
      </w:r>
      <w:r w:rsidRPr="00FF05E9">
        <w:rPr>
          <w:rFonts w:ascii="mylotus" w:hAnsi="mylotus"/>
          <w:sz w:val="32"/>
          <w:rtl/>
        </w:rPr>
        <w:t>أن قضاء الغير يرفع الأمر عنه حتى يقال: إن مقتضى قاعدة الاشتغال بقاء الأمر</w:t>
      </w:r>
      <w:r w:rsidRPr="00FF05E9">
        <w:rPr>
          <w:rFonts w:ascii="mylotus" w:hAnsi="mylotus"/>
          <w:sz w:val="32"/>
        </w:rPr>
        <w:t>.</w:t>
      </w:r>
    </w:p>
    <w:p w14:paraId="2FAAFDF5" w14:textId="6066AA6A" w:rsidR="00FF05E9" w:rsidRPr="00FF05E9" w:rsidRDefault="00FF05E9" w:rsidP="00FF05E9">
      <w:pPr>
        <w:pStyle w:val="a"/>
        <w:bidi/>
        <w:rPr>
          <w:rFonts w:ascii="mylotus" w:hAnsi="mylotus"/>
          <w:sz w:val="32"/>
          <w:rtl/>
        </w:rPr>
      </w:pPr>
      <w:r w:rsidRPr="00FF05E9">
        <w:rPr>
          <w:rFonts w:ascii="mylotus" w:hAnsi="mylotus"/>
          <w:sz w:val="32"/>
          <w:rtl/>
        </w:rPr>
        <w:lastRenderedPageBreak/>
        <w:t>وأما المشهور فقد قالوا</w:t>
      </w:r>
      <w:r>
        <w:rPr>
          <w:rFonts w:ascii="mylotus" w:hAnsi="mylotus"/>
          <w:sz w:val="32"/>
          <w:rtl/>
        </w:rPr>
        <w:t xml:space="preserve"> </w:t>
      </w:r>
      <w:r w:rsidRPr="00FF05E9">
        <w:rPr>
          <w:rFonts w:ascii="mylotus" w:hAnsi="mylotus"/>
          <w:sz w:val="32"/>
          <w:rtl/>
        </w:rPr>
        <w:t>بالاستصحاب، لأن الشك في ارتفاع التكليف بقضاء الغير فيستصحب بقاءه، والخدشة فيه أن أركان الاستصحاب لم تتوفر، فإن من أركانه اليقين بالحدوث والشك في البقاء، وتبين أنه لا يقين بالحدوث، لاحتمال أنه لم يؤمر أصلا، حتى لو مر على وفاة الميت سنة أو أكثر وصادف خلالها أن تبرع الغير بالقضاء عنه ، فإنه يكشف عن عدم توجه الأمر</w:t>
      </w:r>
      <w:r>
        <w:rPr>
          <w:rFonts w:ascii="mylotus" w:hAnsi="mylotus" w:hint="cs"/>
          <w:sz w:val="32"/>
          <w:rtl/>
        </w:rPr>
        <w:t xml:space="preserve"> </w:t>
      </w:r>
      <w:r w:rsidRPr="00FF05E9">
        <w:rPr>
          <w:rFonts w:ascii="mylotus" w:hAnsi="mylotus"/>
          <w:sz w:val="32"/>
          <w:rtl/>
        </w:rPr>
        <w:t>للولي بالقضاء</w:t>
      </w:r>
      <w:r>
        <w:rPr>
          <w:rFonts w:ascii="mylotus" w:hAnsi="mylotus"/>
          <w:sz w:val="32"/>
          <w:rtl/>
        </w:rPr>
        <w:t xml:space="preserve"> </w:t>
      </w:r>
      <w:r w:rsidRPr="00FF05E9">
        <w:rPr>
          <w:rFonts w:ascii="mylotus" w:hAnsi="mylotus"/>
          <w:sz w:val="32"/>
          <w:rtl/>
        </w:rPr>
        <w:t>، نظير ما لو فرض أنه بمجرد أن</w:t>
      </w:r>
      <w:r>
        <w:rPr>
          <w:rFonts w:ascii="mylotus" w:hAnsi="mylotus"/>
          <w:sz w:val="32"/>
          <w:rtl/>
        </w:rPr>
        <w:t xml:space="preserve"> </w:t>
      </w:r>
      <w:r w:rsidRPr="00FF05E9">
        <w:rPr>
          <w:rFonts w:ascii="mylotus" w:hAnsi="mylotus"/>
          <w:sz w:val="32"/>
          <w:rtl/>
        </w:rPr>
        <w:t>أغمض الميت عينيه قام</w:t>
      </w:r>
      <w:r>
        <w:rPr>
          <w:rFonts w:ascii="mylotus" w:hAnsi="mylotus"/>
          <w:sz w:val="32"/>
          <w:rtl/>
        </w:rPr>
        <w:t xml:space="preserve"> </w:t>
      </w:r>
      <w:r w:rsidRPr="00FF05E9">
        <w:rPr>
          <w:rFonts w:ascii="mylotus" w:hAnsi="mylotus"/>
          <w:sz w:val="32"/>
          <w:rtl/>
        </w:rPr>
        <w:t>الغير وصلى</w:t>
      </w:r>
      <w:r>
        <w:rPr>
          <w:rFonts w:ascii="mylotus" w:hAnsi="mylotus"/>
          <w:sz w:val="32"/>
          <w:rtl/>
        </w:rPr>
        <w:t xml:space="preserve"> </w:t>
      </w:r>
      <w:r w:rsidRPr="00FF05E9">
        <w:rPr>
          <w:rFonts w:ascii="mylotus" w:hAnsi="mylotus"/>
          <w:sz w:val="32"/>
          <w:rtl/>
        </w:rPr>
        <w:t>وقضى عنه، فالولي</w:t>
      </w:r>
      <w:r>
        <w:rPr>
          <w:rFonts w:ascii="mylotus" w:hAnsi="mylotus"/>
          <w:sz w:val="32"/>
          <w:rtl/>
        </w:rPr>
        <w:t xml:space="preserve"> </w:t>
      </w:r>
      <w:r w:rsidRPr="00FF05E9">
        <w:rPr>
          <w:rFonts w:ascii="mylotus" w:hAnsi="mylotus"/>
          <w:sz w:val="32"/>
          <w:rtl/>
        </w:rPr>
        <w:t>لم يحرز أنه خوطب بقضاء الفوائت عن الميت أصلا</w:t>
      </w:r>
      <w:r w:rsidRPr="00FF05E9">
        <w:rPr>
          <w:rFonts w:ascii="mylotus" w:hAnsi="mylotus"/>
          <w:sz w:val="32"/>
        </w:rPr>
        <w:t>.</w:t>
      </w:r>
    </w:p>
    <w:p w14:paraId="4DDD5C05" w14:textId="5DA499C5" w:rsidR="00FF05E9" w:rsidRPr="00FF05E9" w:rsidRDefault="00FF05E9" w:rsidP="00FF05E9">
      <w:pPr>
        <w:pStyle w:val="a"/>
        <w:bidi/>
        <w:rPr>
          <w:rFonts w:ascii="mylotus" w:hAnsi="mylotus"/>
          <w:sz w:val="32"/>
          <w:rtl/>
        </w:rPr>
      </w:pPr>
      <w:r w:rsidRPr="00FF05E9">
        <w:rPr>
          <w:rFonts w:ascii="mylotus" w:hAnsi="mylotus"/>
          <w:sz w:val="32"/>
          <w:rtl/>
        </w:rPr>
        <w:t>وأما ما ذكره البعض من أن الجاري في المقام استصحاب عدم كون فعل الغير مسقطا - حيث يشك في مسقطيته - فهذا الاستصحاب محكوم بأصالة البراءة، لأنه أصل مسببي والبراءة</w:t>
      </w:r>
      <w:r>
        <w:rPr>
          <w:rFonts w:ascii="mylotus" w:hAnsi="mylotus"/>
          <w:sz w:val="32"/>
          <w:rtl/>
        </w:rPr>
        <w:t xml:space="preserve"> </w:t>
      </w:r>
      <w:r w:rsidRPr="00FF05E9">
        <w:rPr>
          <w:rFonts w:ascii="mylotus" w:hAnsi="mylotus"/>
          <w:sz w:val="32"/>
          <w:rtl/>
        </w:rPr>
        <w:t>أصل سببي، فالشك في كون فعل الغير مسقطا أم لا؟ مسبب عن الشك في أن فعل الغير</w:t>
      </w:r>
      <w:r>
        <w:rPr>
          <w:rFonts w:ascii="mylotus" w:hAnsi="mylotus"/>
          <w:sz w:val="32"/>
          <w:rtl/>
        </w:rPr>
        <w:t xml:space="preserve"> </w:t>
      </w:r>
      <w:r w:rsidRPr="00FF05E9">
        <w:rPr>
          <w:rFonts w:ascii="mylotus" w:hAnsi="mylotus"/>
          <w:sz w:val="32"/>
          <w:rtl/>
        </w:rPr>
        <w:t>مانع من حدوث التكليف في حقه، فالشك في مسقطية فعل الغير مسبب عن الشك في أنه كلف أم لم يكلف، وجريان البراءة عن حدوث التكليف في حقه حاكم على استصحاب عدم كون فعل الغير مسقطا</w:t>
      </w:r>
      <w:r w:rsidRPr="00FF05E9">
        <w:rPr>
          <w:rFonts w:ascii="mylotus" w:hAnsi="mylotus"/>
          <w:sz w:val="32"/>
        </w:rPr>
        <w:t>.</w:t>
      </w:r>
    </w:p>
    <w:p w14:paraId="4020189D" w14:textId="4A525635" w:rsidR="00FF05E9" w:rsidRPr="00FF05E9" w:rsidRDefault="00FF05E9" w:rsidP="00FF05E9">
      <w:pPr>
        <w:pStyle w:val="a"/>
        <w:bidi/>
        <w:rPr>
          <w:rFonts w:ascii="mylotus" w:hAnsi="mylotus"/>
          <w:sz w:val="32"/>
          <w:rtl/>
        </w:rPr>
      </w:pPr>
      <w:r w:rsidRPr="00FF05E9">
        <w:rPr>
          <w:rFonts w:ascii="mylotus" w:hAnsi="mylotus"/>
          <w:sz w:val="32"/>
          <w:rtl/>
        </w:rPr>
        <w:t>وكذا لو قيل: إن الجاري استصحاب أصل الوجوب المردد بين القصير والطويل، كما في تردد الأمر بين الأقل والأكثر، كما لو أمر بالصلاة ولا يعلم أن الصلاة المشتملة على جلسة الاستراحة مطلوبة</w:t>
      </w:r>
      <w:r>
        <w:rPr>
          <w:rFonts w:ascii="mylotus" w:hAnsi="mylotus"/>
          <w:sz w:val="32"/>
          <w:rtl/>
        </w:rPr>
        <w:t xml:space="preserve"> </w:t>
      </w:r>
      <w:r w:rsidRPr="00FF05E9">
        <w:rPr>
          <w:rFonts w:ascii="mylotus" w:hAnsi="mylotus"/>
          <w:sz w:val="32"/>
          <w:rtl/>
        </w:rPr>
        <w:t>فيكون تكليفا بالأكثر أم</w:t>
      </w:r>
      <w:r>
        <w:rPr>
          <w:rFonts w:ascii="mylotus" w:hAnsi="mylotus"/>
          <w:sz w:val="32"/>
          <w:rtl/>
        </w:rPr>
        <w:t xml:space="preserve"> </w:t>
      </w:r>
      <w:r w:rsidRPr="00FF05E9">
        <w:rPr>
          <w:rFonts w:ascii="mylotus" w:hAnsi="mylotus"/>
          <w:sz w:val="32"/>
          <w:rtl/>
        </w:rPr>
        <w:t>الصلاة لا بشرط من حيث جلسة الاستراحة فهو تكليف بالأقل، فإذا</w:t>
      </w:r>
      <w:r>
        <w:rPr>
          <w:rFonts w:ascii="mylotus" w:hAnsi="mylotus"/>
          <w:sz w:val="32"/>
          <w:rtl/>
        </w:rPr>
        <w:t xml:space="preserve"> </w:t>
      </w:r>
      <w:r w:rsidRPr="00FF05E9">
        <w:rPr>
          <w:rFonts w:ascii="mylotus" w:hAnsi="mylotus"/>
          <w:sz w:val="32"/>
          <w:rtl/>
        </w:rPr>
        <w:t>أتى بالصلاة دون جلسة الاستراحة وشك في انتفاء</w:t>
      </w:r>
      <w:r>
        <w:rPr>
          <w:rFonts w:ascii="mylotus" w:hAnsi="mylotus"/>
          <w:sz w:val="32"/>
          <w:rtl/>
        </w:rPr>
        <w:t xml:space="preserve"> </w:t>
      </w:r>
      <w:r w:rsidRPr="00FF05E9">
        <w:rPr>
          <w:rFonts w:ascii="mylotus" w:hAnsi="mylotus"/>
          <w:sz w:val="32"/>
          <w:rtl/>
        </w:rPr>
        <w:t>الوجوب عنه، فيقال: إن كان الوجوب الذي حصل هو الوجوب بنحو الفرد الطويل - أي وجوب الصلاة بشرط جلسة الاستراحة فهو باق</w:t>
      </w:r>
      <w:r>
        <w:rPr>
          <w:rFonts w:ascii="mylotus" w:hAnsi="mylotus"/>
          <w:sz w:val="32"/>
          <w:rtl/>
        </w:rPr>
        <w:t xml:space="preserve"> </w:t>
      </w:r>
      <w:r w:rsidRPr="00FF05E9">
        <w:rPr>
          <w:rFonts w:ascii="mylotus" w:hAnsi="mylotus"/>
          <w:sz w:val="32"/>
          <w:rtl/>
        </w:rPr>
        <w:t>- وإن كان الوجوب بنحو الفرد القصير - أي وجوب الصلاة لا</w:t>
      </w:r>
      <w:r>
        <w:rPr>
          <w:rFonts w:ascii="mylotus" w:hAnsi="mylotus" w:hint="cs"/>
          <w:sz w:val="32"/>
          <w:rtl/>
        </w:rPr>
        <w:t xml:space="preserve"> </w:t>
      </w:r>
      <w:r w:rsidRPr="00FF05E9">
        <w:rPr>
          <w:rFonts w:ascii="mylotus" w:hAnsi="mylotus"/>
          <w:sz w:val="32"/>
          <w:rtl/>
        </w:rPr>
        <w:t>بشرط من حيث جلسة</w:t>
      </w:r>
      <w:r>
        <w:rPr>
          <w:rFonts w:ascii="mylotus" w:hAnsi="mylotus" w:hint="cs"/>
          <w:sz w:val="32"/>
          <w:rtl/>
        </w:rPr>
        <w:t xml:space="preserve"> الاستراحة - </w:t>
      </w:r>
      <w:r w:rsidRPr="00FF05E9">
        <w:rPr>
          <w:rFonts w:ascii="mylotus" w:hAnsi="mylotus"/>
          <w:sz w:val="32"/>
          <w:rtl/>
        </w:rPr>
        <w:t>فقد</w:t>
      </w:r>
      <w:r>
        <w:rPr>
          <w:rFonts w:ascii="mylotus" w:hAnsi="mylotus"/>
          <w:sz w:val="32"/>
          <w:rtl/>
        </w:rPr>
        <w:t xml:space="preserve"> </w:t>
      </w:r>
      <w:r w:rsidRPr="00FF05E9">
        <w:rPr>
          <w:rFonts w:ascii="mylotus" w:hAnsi="mylotus"/>
          <w:sz w:val="32"/>
          <w:rtl/>
        </w:rPr>
        <w:t>انتفى</w:t>
      </w:r>
      <w:r>
        <w:rPr>
          <w:rFonts w:ascii="mylotus" w:hAnsi="mylotus" w:hint="cs"/>
          <w:sz w:val="32"/>
          <w:rtl/>
        </w:rPr>
        <w:t>،</w:t>
      </w:r>
      <w:r w:rsidRPr="00FF05E9">
        <w:rPr>
          <w:rFonts w:ascii="mylotus" w:hAnsi="mylotus"/>
          <w:sz w:val="32"/>
          <w:rtl/>
        </w:rPr>
        <w:t xml:space="preserve"> فإذا شك فيجري استصحاب طبيعي الوجوب الجامع بين الوجوب بنحو الفرد الطويل والفرد القصير، فيقال كذلك في المقام، فهناك وجوب وهو وجوب قضاء الفوائت عن الميت،</w:t>
      </w:r>
      <w:r>
        <w:rPr>
          <w:rFonts w:ascii="mylotus" w:hAnsi="mylotus"/>
          <w:sz w:val="32"/>
          <w:rtl/>
        </w:rPr>
        <w:t xml:space="preserve"> </w:t>
      </w:r>
      <w:r w:rsidRPr="00FF05E9">
        <w:rPr>
          <w:rFonts w:ascii="mylotus" w:hAnsi="mylotus"/>
          <w:sz w:val="32"/>
          <w:rtl/>
        </w:rPr>
        <w:t>ولا يدري أن</w:t>
      </w:r>
      <w:r>
        <w:rPr>
          <w:rFonts w:ascii="mylotus" w:hAnsi="mylotus"/>
          <w:sz w:val="32"/>
          <w:rtl/>
        </w:rPr>
        <w:t xml:space="preserve"> </w:t>
      </w:r>
      <w:r w:rsidRPr="00FF05E9">
        <w:rPr>
          <w:rFonts w:ascii="mylotus" w:hAnsi="mylotus"/>
          <w:sz w:val="32"/>
          <w:rtl/>
        </w:rPr>
        <w:t>الوجوب من قبيل الفرد الطويل أي المستمر حتى مع فعل الغير أم الوجوب من قبيل الفرد القصير أي الوجوب في ظرف عدم فعل الغير، فيستصحب طبيعي الوجوب الجامع بين الفرد القصير والطويل</w:t>
      </w:r>
      <w:r w:rsidRPr="00FF05E9">
        <w:rPr>
          <w:rFonts w:ascii="mylotus" w:hAnsi="mylotus"/>
          <w:sz w:val="32"/>
        </w:rPr>
        <w:t>.</w:t>
      </w:r>
    </w:p>
    <w:p w14:paraId="2A5D0EFC" w14:textId="56314BE6" w:rsidR="00FF05E9" w:rsidRPr="00FF05E9" w:rsidRDefault="00FF05E9" w:rsidP="00FF05E9">
      <w:pPr>
        <w:pStyle w:val="a"/>
        <w:bidi/>
        <w:rPr>
          <w:rFonts w:ascii="mylotus" w:hAnsi="mylotus"/>
          <w:sz w:val="32"/>
          <w:rtl/>
        </w:rPr>
      </w:pPr>
      <w:r w:rsidRPr="00FF05E9">
        <w:rPr>
          <w:rFonts w:ascii="mylotus" w:hAnsi="mylotus"/>
          <w:sz w:val="32"/>
          <w:rtl/>
        </w:rPr>
        <w:t>والجواب عنه: أن</w:t>
      </w:r>
      <w:r>
        <w:rPr>
          <w:rFonts w:ascii="mylotus" w:hAnsi="mylotus"/>
          <w:sz w:val="32"/>
          <w:rtl/>
        </w:rPr>
        <w:t xml:space="preserve"> </w:t>
      </w:r>
      <w:r w:rsidRPr="00FF05E9">
        <w:rPr>
          <w:rFonts w:ascii="mylotus" w:hAnsi="mylotus"/>
          <w:sz w:val="32"/>
          <w:rtl/>
        </w:rPr>
        <w:t>استصحاب الجامع بين القصير والطويل فرع إحراز فعلية الوجوب</w:t>
      </w:r>
      <w:r>
        <w:rPr>
          <w:rFonts w:ascii="mylotus" w:hAnsi="mylotus"/>
          <w:sz w:val="32"/>
          <w:rtl/>
        </w:rPr>
        <w:t xml:space="preserve"> </w:t>
      </w:r>
      <w:r w:rsidRPr="00FF05E9">
        <w:rPr>
          <w:rFonts w:ascii="mylotus" w:hAnsi="mylotus"/>
          <w:sz w:val="32"/>
          <w:rtl/>
        </w:rPr>
        <w:t>آنا من الآنات، ولو كان كذلك لاستصحب شخص ذلك الوجوب من دون حاجة لاستصحاب الطبيعي الجامع، ولكن المفروض أنه لم يحرز فعلية ذلك الوجوب ولو آنا من الآنات لاحتمال أن قضاء الغير منع حدوث الوجوب من أساسه، فلا محالة أن الجاري هو البراءة</w:t>
      </w:r>
      <w:r w:rsidRPr="00FF05E9">
        <w:rPr>
          <w:rFonts w:ascii="mylotus" w:hAnsi="mylotus"/>
          <w:sz w:val="32"/>
        </w:rPr>
        <w:t>.</w:t>
      </w:r>
    </w:p>
    <w:p w14:paraId="4F14AC1E" w14:textId="4FC50EB2" w:rsidR="00FF05E9" w:rsidRPr="00FF05E9" w:rsidRDefault="00FF05E9" w:rsidP="00FF05E9">
      <w:pPr>
        <w:pStyle w:val="a"/>
        <w:bidi/>
        <w:rPr>
          <w:rFonts w:ascii="mylotus" w:hAnsi="mylotus"/>
          <w:sz w:val="32"/>
          <w:rtl/>
        </w:rPr>
      </w:pPr>
      <w:r w:rsidRPr="00FF05E9">
        <w:rPr>
          <w:rFonts w:ascii="mylotus" w:hAnsi="mylotus"/>
          <w:sz w:val="32"/>
          <w:rtl/>
        </w:rPr>
        <w:t>ولكن سيد المنتقى [ج1 ص 503] أشكل على المحقق العراقي قدس سره بإشكالين</w:t>
      </w:r>
      <w:r w:rsidRPr="00FF05E9">
        <w:rPr>
          <w:rFonts w:ascii="mylotus" w:hAnsi="mylotus"/>
          <w:sz w:val="32"/>
        </w:rPr>
        <w:t>:</w:t>
      </w:r>
    </w:p>
    <w:p w14:paraId="671BDB2E" w14:textId="55D1AFC2" w:rsidR="00FF05E9" w:rsidRPr="00FF05E9" w:rsidRDefault="00FF05E9" w:rsidP="00FF05E9">
      <w:pPr>
        <w:pStyle w:val="a"/>
        <w:bidi/>
        <w:rPr>
          <w:rFonts w:ascii="mylotus" w:hAnsi="mylotus"/>
          <w:sz w:val="32"/>
          <w:rtl/>
        </w:rPr>
      </w:pPr>
      <w:r w:rsidRPr="00FF05E9">
        <w:rPr>
          <w:rFonts w:ascii="mylotus" w:hAnsi="mylotus"/>
          <w:b/>
          <w:bCs/>
          <w:sz w:val="32"/>
          <w:rtl/>
        </w:rPr>
        <w:lastRenderedPageBreak/>
        <w:t>أحدهما:</w:t>
      </w:r>
      <w:r w:rsidRPr="00FF05E9">
        <w:rPr>
          <w:rFonts w:ascii="mylotus" w:hAnsi="mylotus"/>
          <w:sz w:val="32"/>
          <w:rtl/>
        </w:rPr>
        <w:t xml:space="preserve"> أن الجاري في المقام هو استصحاب الوجوب كما يقول المشهور، وذلك لأن الشك في المسقطية مساوق للشك في الرافعية، وذلك لأن</w:t>
      </w:r>
      <w:r>
        <w:rPr>
          <w:rFonts w:ascii="mylotus" w:hAnsi="mylotus"/>
          <w:sz w:val="32"/>
          <w:rtl/>
        </w:rPr>
        <w:t xml:space="preserve"> </w:t>
      </w:r>
      <w:r w:rsidRPr="00FF05E9">
        <w:rPr>
          <w:rFonts w:ascii="mylotus" w:hAnsi="mylotus"/>
          <w:sz w:val="32"/>
          <w:rtl/>
        </w:rPr>
        <w:t>فعل الغير مسقط للتكليف لا</w:t>
      </w:r>
      <w:r>
        <w:rPr>
          <w:rFonts w:ascii="mylotus" w:hAnsi="mylotus" w:hint="cs"/>
          <w:sz w:val="32"/>
          <w:rtl/>
        </w:rPr>
        <w:t xml:space="preserve"> </w:t>
      </w:r>
      <w:r w:rsidRPr="00FF05E9">
        <w:rPr>
          <w:rFonts w:ascii="mylotus" w:hAnsi="mylotus"/>
          <w:sz w:val="32"/>
          <w:rtl/>
        </w:rPr>
        <w:t>نفي له ، ولا معنى لإجراء البراءة عند الشك في الرافعية، مع أن الشك فيها معناه التسليم بتحقق التكليف والشك في كون فعل الغير رافعا له</w:t>
      </w:r>
      <w:r w:rsidRPr="00FF05E9">
        <w:rPr>
          <w:rFonts w:ascii="mylotus" w:hAnsi="mylotus"/>
          <w:sz w:val="32"/>
        </w:rPr>
        <w:t>.</w:t>
      </w:r>
    </w:p>
    <w:p w14:paraId="32B45D36" w14:textId="168530ED" w:rsidR="00FF05E9" w:rsidRPr="00FF05E9" w:rsidRDefault="00FF05E9" w:rsidP="00FF05E9">
      <w:pPr>
        <w:pStyle w:val="a"/>
        <w:bidi/>
        <w:rPr>
          <w:rFonts w:ascii="mylotus" w:hAnsi="mylotus"/>
          <w:sz w:val="32"/>
          <w:rtl/>
        </w:rPr>
      </w:pPr>
      <w:r w:rsidRPr="00FF05E9">
        <w:rPr>
          <w:rFonts w:ascii="mylotus" w:hAnsi="mylotus"/>
          <w:sz w:val="32"/>
          <w:rtl/>
        </w:rPr>
        <w:t>ولكن ما</w:t>
      </w:r>
      <w:r>
        <w:rPr>
          <w:rFonts w:ascii="mylotus" w:hAnsi="mylotus" w:hint="cs"/>
          <w:sz w:val="32"/>
          <w:rtl/>
        </w:rPr>
        <w:t xml:space="preserve"> </w:t>
      </w:r>
      <w:r w:rsidRPr="00FF05E9">
        <w:rPr>
          <w:rFonts w:ascii="mylotus" w:hAnsi="mylotus"/>
          <w:sz w:val="32"/>
          <w:rtl/>
        </w:rPr>
        <w:t>ذكر موضع تأمل، إذ</w:t>
      </w:r>
      <w:r>
        <w:rPr>
          <w:rFonts w:ascii="mylotus" w:hAnsi="mylotus"/>
          <w:sz w:val="32"/>
          <w:rtl/>
        </w:rPr>
        <w:t xml:space="preserve"> </w:t>
      </w:r>
      <w:r w:rsidRPr="00FF05E9">
        <w:rPr>
          <w:rFonts w:ascii="mylotus" w:hAnsi="mylotus"/>
          <w:sz w:val="32"/>
          <w:rtl/>
        </w:rPr>
        <w:t>تارة يدعى أن</w:t>
      </w:r>
      <w:r>
        <w:rPr>
          <w:rFonts w:ascii="mylotus" w:hAnsi="mylotus"/>
          <w:sz w:val="32"/>
          <w:rtl/>
        </w:rPr>
        <w:t xml:space="preserve"> </w:t>
      </w:r>
      <w:r w:rsidRPr="00FF05E9">
        <w:rPr>
          <w:rFonts w:ascii="mylotus" w:hAnsi="mylotus"/>
          <w:sz w:val="32"/>
          <w:rtl/>
        </w:rPr>
        <w:t>المرتكز المتشرعي في هذا الباب لا يحتمل أن يكون فعل الغير مانعا من حدوث التكليف فلا محالة يتمحض الشك في كونه رافعا لا</w:t>
      </w:r>
      <w:r>
        <w:rPr>
          <w:rFonts w:ascii="mylotus" w:hAnsi="mylotus" w:hint="cs"/>
          <w:sz w:val="32"/>
          <w:rtl/>
        </w:rPr>
        <w:t xml:space="preserve"> </w:t>
      </w:r>
      <w:r w:rsidRPr="00FF05E9">
        <w:rPr>
          <w:rFonts w:ascii="mylotus" w:hAnsi="mylotus"/>
          <w:sz w:val="32"/>
          <w:rtl/>
        </w:rPr>
        <w:t>نافيا،</w:t>
      </w:r>
      <w:r>
        <w:rPr>
          <w:rFonts w:ascii="mylotus" w:hAnsi="mylotus"/>
          <w:sz w:val="32"/>
          <w:rtl/>
        </w:rPr>
        <w:t xml:space="preserve"> </w:t>
      </w:r>
      <w:r w:rsidRPr="00FF05E9">
        <w:rPr>
          <w:rFonts w:ascii="mylotus" w:hAnsi="mylotus"/>
          <w:sz w:val="32"/>
          <w:rtl/>
        </w:rPr>
        <w:t>المقتضي لثبوت التكليف ويكون الشك من الشك في البقاء فيجري استصحاب بقاء التكليف، أو قلنا بأن</w:t>
      </w:r>
      <w:r>
        <w:rPr>
          <w:rFonts w:ascii="mylotus" w:hAnsi="mylotus"/>
          <w:sz w:val="32"/>
          <w:rtl/>
        </w:rPr>
        <w:t xml:space="preserve"> </w:t>
      </w:r>
      <w:r w:rsidRPr="00FF05E9">
        <w:rPr>
          <w:rFonts w:ascii="mylotus" w:hAnsi="mylotus"/>
          <w:sz w:val="32"/>
          <w:rtl/>
        </w:rPr>
        <w:t>أن هناك تكليفا وفعل الغير رافع له</w:t>
      </w:r>
      <w:r w:rsidRPr="00FF05E9">
        <w:rPr>
          <w:rFonts w:ascii="mylotus" w:hAnsi="mylotus"/>
          <w:sz w:val="32"/>
        </w:rPr>
        <w:t>.</w:t>
      </w:r>
    </w:p>
    <w:p w14:paraId="2874D9E3" w14:textId="25C3A07F" w:rsidR="00FF05E9" w:rsidRPr="00FF05E9" w:rsidRDefault="00FF05E9" w:rsidP="00FF05E9">
      <w:pPr>
        <w:pStyle w:val="a"/>
        <w:bidi/>
        <w:rPr>
          <w:rFonts w:ascii="mylotus" w:hAnsi="mylotus"/>
          <w:sz w:val="32"/>
          <w:rtl/>
        </w:rPr>
      </w:pPr>
      <w:r w:rsidRPr="00FF05E9">
        <w:rPr>
          <w:rFonts w:ascii="mylotus" w:hAnsi="mylotus"/>
          <w:sz w:val="32"/>
          <w:rtl/>
        </w:rPr>
        <w:t>فالشك</w:t>
      </w:r>
      <w:r>
        <w:rPr>
          <w:rFonts w:ascii="mylotus" w:hAnsi="mylotus"/>
          <w:sz w:val="32"/>
          <w:rtl/>
        </w:rPr>
        <w:t xml:space="preserve"> </w:t>
      </w:r>
      <w:r w:rsidRPr="00FF05E9">
        <w:rPr>
          <w:rFonts w:ascii="mylotus" w:hAnsi="mylotus"/>
          <w:sz w:val="32"/>
          <w:rtl/>
        </w:rPr>
        <w:t>وجدانا شك في حدوث التكليف لا في بقائه وفي فعلية التكليف لا في</w:t>
      </w:r>
      <w:r w:rsidRPr="00FF05E9">
        <w:rPr>
          <w:rFonts w:ascii="mylotus" w:hAnsi="mylotus"/>
          <w:sz w:val="32"/>
        </w:rPr>
        <w:t xml:space="preserve"> </w:t>
      </w:r>
      <w:r w:rsidRPr="00FF05E9">
        <w:rPr>
          <w:rFonts w:ascii="mylotus" w:hAnsi="mylotus"/>
          <w:sz w:val="32"/>
          <w:rtl/>
        </w:rPr>
        <w:t>استمراره فالمقام مجرى للبراءة وليس مجرى للاستصحاب.</w:t>
      </w:r>
      <w:r w:rsidRPr="00FF05E9">
        <w:rPr>
          <w:rFonts w:ascii="mylotus" w:hAnsi="mylotus" w:hint="cs"/>
          <w:b/>
          <w:bCs/>
          <w:sz w:val="32"/>
          <w:rtl/>
        </w:rPr>
        <w:t xml:space="preserve"> </w:t>
      </w:r>
    </w:p>
    <w:p w14:paraId="2D24CFF0" w14:textId="5FBB1DD8" w:rsidR="001F034F" w:rsidRPr="00022AE8" w:rsidRDefault="00E706A4" w:rsidP="00FF05E9">
      <w:pPr>
        <w:pStyle w:val="a"/>
        <w:bidi/>
        <w:jc w:val="center"/>
        <w:rPr>
          <w:rFonts w:ascii="mylotus" w:hAnsi="mylotus"/>
          <w:b/>
          <w:bCs/>
          <w:sz w:val="32"/>
        </w:rPr>
      </w:pPr>
      <w:r w:rsidRPr="00022AE8">
        <w:rPr>
          <w:rFonts w:ascii="mylotus" w:hAnsi="mylotus" w:hint="cs"/>
          <w:b/>
          <w:bCs/>
          <w:sz w:val="32"/>
          <w:rtl/>
        </w:rPr>
        <w:t>والحمد لله رب العالمين</w:t>
      </w:r>
    </w:p>
    <w:p w14:paraId="20658458" w14:textId="77777777" w:rsidR="00B452F2" w:rsidRPr="00022AE8" w:rsidRDefault="00B452F2">
      <w:pPr>
        <w:pStyle w:val="a"/>
        <w:bidi/>
        <w:jc w:val="center"/>
        <w:rPr>
          <w:rFonts w:ascii="mylotus" w:hAnsi="mylotus"/>
          <w:b/>
          <w:bCs/>
          <w:sz w:val="32"/>
        </w:rPr>
      </w:pPr>
    </w:p>
    <w:sectPr w:rsidR="00B452F2" w:rsidRPr="00022AE8" w:rsidSect="007B13BD">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C437C" w14:textId="77777777" w:rsidR="00017DC8" w:rsidRDefault="00017DC8" w:rsidP="00A5027D">
      <w:pPr>
        <w:spacing w:line="240" w:lineRule="auto"/>
      </w:pPr>
      <w:r>
        <w:separator/>
      </w:r>
    </w:p>
  </w:endnote>
  <w:endnote w:type="continuationSeparator" w:id="0">
    <w:p w14:paraId="6E9695CE" w14:textId="77777777" w:rsidR="00017DC8" w:rsidRDefault="00017DC8"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mohsin">
    <w:altName w:val="Arial"/>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C1F0D" w14:textId="77777777" w:rsidR="003A0403" w:rsidRDefault="003A04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B8C79" w14:textId="77777777" w:rsidR="003A0403" w:rsidRDefault="003A04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6048F" w14:textId="77777777" w:rsidR="00017DC8" w:rsidRDefault="00017DC8" w:rsidP="00A5027D">
      <w:pPr>
        <w:spacing w:line="240" w:lineRule="auto"/>
      </w:pPr>
      <w:r>
        <w:separator/>
      </w:r>
    </w:p>
  </w:footnote>
  <w:footnote w:type="continuationSeparator" w:id="0">
    <w:p w14:paraId="24F7D237" w14:textId="77777777" w:rsidR="00017DC8" w:rsidRDefault="00017DC8"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08660" w14:textId="77777777" w:rsidR="003A0403" w:rsidRDefault="003A04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4205ACFA"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3360"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724BC7" id="رابط مستقيم 1" o:spid="_x0000_s1026" style="position:absolute;flip:x;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40E4E" w:rsidRPr="00B40E4E">
      <w:rPr>
        <w:rtl/>
      </w:rPr>
      <w:t xml:space="preserve"> </w:t>
    </w:r>
    <w:r w:rsidR="00B40E4E" w:rsidRPr="00B40E4E">
      <w:rPr>
        <w:rFonts w:ascii="mylotus" w:hAnsi="mylotus" w:cs="mylotus"/>
        <w:color w:val="FF0000"/>
        <w:sz w:val="24"/>
        <w:szCs w:val="24"/>
        <w:rtl/>
      </w:rPr>
      <w:t xml:space="preserve">بحث الأصول </w:t>
    </w:r>
    <w:r w:rsidR="00B40E4E" w:rsidRPr="00B40E4E">
      <w:rPr>
        <w:rFonts w:ascii="mylotus" w:hAnsi="mylotus" w:cs="mylotus"/>
        <w:color w:val="FF0000"/>
        <w:sz w:val="24"/>
        <w:szCs w:val="24"/>
        <w:rtl/>
      </w:rPr>
      <w:t xml:space="preserve">- مبحث الأوامر </w:t>
    </w:r>
    <w:r w:rsidR="00FF05E9">
      <w:rPr>
        <w:rFonts w:ascii="mylotus" w:hAnsi="mylotus" w:cs="mylotus" w:hint="cs"/>
        <w:color w:val="FF0000"/>
        <w:sz w:val="24"/>
        <w:szCs w:val="24"/>
        <w:rtl/>
      </w:rPr>
      <w:t>29</w:t>
    </w:r>
    <w:r w:rsidR="00B40E4E" w:rsidRPr="00B40E4E">
      <w:rPr>
        <w:rFonts w:ascii="mylotus" w:hAnsi="mylotus" w:cs="mylotus"/>
        <w:color w:val="FF0000"/>
        <w:sz w:val="24"/>
        <w:szCs w:val="24"/>
        <w:rtl/>
      </w:rPr>
      <w:t xml:space="preserve"> - </w:t>
    </w:r>
    <w:r w:rsidR="00FF05E9">
      <w:rPr>
        <w:rFonts w:ascii="Cambria" w:hAnsi="Cambria" w:cs="mylotus" w:hint="cs"/>
        <w:color w:val="FF0000"/>
        <w:sz w:val="24"/>
        <w:szCs w:val="24"/>
        <w:rtl/>
      </w:rPr>
      <w:t>الإثنين</w:t>
    </w:r>
    <w:r w:rsidR="00B40E4E" w:rsidRPr="00B40E4E">
      <w:rPr>
        <w:rFonts w:ascii="mylotus" w:hAnsi="mylotus" w:cs="mylotus"/>
        <w:color w:val="FF0000"/>
        <w:sz w:val="24"/>
        <w:szCs w:val="24"/>
        <w:rtl/>
      </w:rPr>
      <w:t xml:space="preserve"> </w:t>
    </w:r>
    <w:r w:rsidR="00727592">
      <w:rPr>
        <w:rFonts w:ascii="mylotus" w:hAnsi="mylotus" w:cs="mylotus" w:hint="cs"/>
        <w:color w:val="FF0000"/>
        <w:sz w:val="24"/>
        <w:szCs w:val="24"/>
        <w:rtl/>
      </w:rPr>
      <w:t>2</w:t>
    </w:r>
    <w:r w:rsidR="00FF05E9">
      <w:rPr>
        <w:rFonts w:ascii="mylotus" w:hAnsi="mylotus" w:cs="mylotus" w:hint="cs"/>
        <w:color w:val="FF0000"/>
        <w:sz w:val="24"/>
        <w:szCs w:val="24"/>
        <w:rtl/>
      </w:rPr>
      <w:t>1</w:t>
    </w:r>
    <w:r w:rsidR="00B40E4E" w:rsidRPr="00B40E4E">
      <w:rPr>
        <w:rFonts w:ascii="mylotus" w:hAnsi="mylotus" w:cs="mylotus"/>
        <w:color w:val="FF0000"/>
        <w:sz w:val="24"/>
        <w:szCs w:val="24"/>
        <w:rtl/>
      </w:rPr>
      <w:t xml:space="preserve"> ربيع الثاني ١٤٤٥ه</w:t>
    </w:r>
    <w:r w:rsidR="00B40E4E">
      <w:rPr>
        <w:rFonts w:ascii="Cambria" w:hAnsi="Cambria" w:cs="mylotus" w:hint="cs"/>
        <w:color w:val="FF0000"/>
        <w:sz w:val="24"/>
        <w:szCs w:val="24"/>
        <w:rtl/>
      </w:rPr>
      <w:t>ـ</w:t>
    </w:r>
    <w:r w:rsidR="00727592">
      <w:rPr>
        <w:rFonts w:ascii="mylotus" w:hAnsi="mylotus" w:cs="mylotus"/>
        <w:color w:val="FF0000"/>
        <w:sz w:val="24"/>
        <w:szCs w:val="24"/>
        <w:rtl/>
      </w:rPr>
      <w:t xml:space="preserve"> </w:t>
    </w:r>
    <w:r w:rsidR="00727592">
      <w:rPr>
        <w:rFonts w:ascii="mylotus" w:hAnsi="mylotus" w:cs="mylotus" w:hint="cs"/>
        <w:color w:val="FF0000"/>
        <w:sz w:val="24"/>
        <w:szCs w:val="24"/>
        <w:rtl/>
        <w:lang w:val="en-US"/>
      </w:rPr>
      <w:t xml:space="preserve"> </w:t>
    </w:r>
    <w:r w:rsidR="00C62022">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0FD16" w14:textId="77777777" w:rsidR="003A0403" w:rsidRDefault="003A04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66BCA"/>
    <w:multiLevelType w:val="hybridMultilevel"/>
    <w:tmpl w:val="19403032"/>
    <w:lvl w:ilvl="0" w:tplc="B5B46ED4">
      <w:start w:val="1"/>
      <w:numFmt w:val="decimalFullWidth"/>
      <w:lvlText w:val="%1-"/>
      <w:lvlJc w:val="left"/>
      <w:pPr>
        <w:ind w:left="802" w:hanging="405"/>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16cid:durableId="1374118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7D"/>
    <w:rsid w:val="00012B79"/>
    <w:rsid w:val="00014E51"/>
    <w:rsid w:val="00017DC8"/>
    <w:rsid w:val="00022AE8"/>
    <w:rsid w:val="0003362C"/>
    <w:rsid w:val="00052652"/>
    <w:rsid w:val="00054F91"/>
    <w:rsid w:val="000634C0"/>
    <w:rsid w:val="00075B8F"/>
    <w:rsid w:val="00085C01"/>
    <w:rsid w:val="000868A0"/>
    <w:rsid w:val="000C2631"/>
    <w:rsid w:val="000D4A6A"/>
    <w:rsid w:val="000D4EBC"/>
    <w:rsid w:val="000F4CBD"/>
    <w:rsid w:val="00102391"/>
    <w:rsid w:val="00123C32"/>
    <w:rsid w:val="00126819"/>
    <w:rsid w:val="00163C33"/>
    <w:rsid w:val="001739EF"/>
    <w:rsid w:val="0018506F"/>
    <w:rsid w:val="00190CDF"/>
    <w:rsid w:val="001B7AAB"/>
    <w:rsid w:val="001D2C21"/>
    <w:rsid w:val="001D40F0"/>
    <w:rsid w:val="001F034F"/>
    <w:rsid w:val="0024499D"/>
    <w:rsid w:val="00284BFD"/>
    <w:rsid w:val="00294D72"/>
    <w:rsid w:val="002A44F3"/>
    <w:rsid w:val="002A79FA"/>
    <w:rsid w:val="002B4E62"/>
    <w:rsid w:val="002C3704"/>
    <w:rsid w:val="002D0D9E"/>
    <w:rsid w:val="00301C9E"/>
    <w:rsid w:val="00311FF3"/>
    <w:rsid w:val="00315396"/>
    <w:rsid w:val="00331615"/>
    <w:rsid w:val="00332D8F"/>
    <w:rsid w:val="00347A40"/>
    <w:rsid w:val="0035443E"/>
    <w:rsid w:val="00360836"/>
    <w:rsid w:val="00363B6D"/>
    <w:rsid w:val="00371C9A"/>
    <w:rsid w:val="0037567A"/>
    <w:rsid w:val="00384679"/>
    <w:rsid w:val="003A0403"/>
    <w:rsid w:val="003A4C77"/>
    <w:rsid w:val="003C237F"/>
    <w:rsid w:val="003C5C22"/>
    <w:rsid w:val="003E35A5"/>
    <w:rsid w:val="00403764"/>
    <w:rsid w:val="00426274"/>
    <w:rsid w:val="00434EF0"/>
    <w:rsid w:val="00444116"/>
    <w:rsid w:val="00464108"/>
    <w:rsid w:val="00465843"/>
    <w:rsid w:val="00467CA0"/>
    <w:rsid w:val="00487DED"/>
    <w:rsid w:val="004B03A0"/>
    <w:rsid w:val="004B14A5"/>
    <w:rsid w:val="004B76A6"/>
    <w:rsid w:val="004C2054"/>
    <w:rsid w:val="004D6F7D"/>
    <w:rsid w:val="004D784B"/>
    <w:rsid w:val="004E5A62"/>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55432"/>
    <w:rsid w:val="00694C4A"/>
    <w:rsid w:val="006C31F4"/>
    <w:rsid w:val="006C7340"/>
    <w:rsid w:val="006D6E7E"/>
    <w:rsid w:val="006E1B18"/>
    <w:rsid w:val="006F6650"/>
    <w:rsid w:val="00701077"/>
    <w:rsid w:val="00712B3D"/>
    <w:rsid w:val="0072068E"/>
    <w:rsid w:val="007237A9"/>
    <w:rsid w:val="00726D62"/>
    <w:rsid w:val="00727592"/>
    <w:rsid w:val="007310D4"/>
    <w:rsid w:val="00746241"/>
    <w:rsid w:val="00753B14"/>
    <w:rsid w:val="0076539C"/>
    <w:rsid w:val="00765914"/>
    <w:rsid w:val="00781258"/>
    <w:rsid w:val="00791C2B"/>
    <w:rsid w:val="007926E8"/>
    <w:rsid w:val="007A1A5D"/>
    <w:rsid w:val="007A1E70"/>
    <w:rsid w:val="007A4179"/>
    <w:rsid w:val="007A59E2"/>
    <w:rsid w:val="007B13BD"/>
    <w:rsid w:val="007B25DF"/>
    <w:rsid w:val="007D0826"/>
    <w:rsid w:val="007D2646"/>
    <w:rsid w:val="007D3C58"/>
    <w:rsid w:val="007F2A1F"/>
    <w:rsid w:val="00800FEA"/>
    <w:rsid w:val="00801949"/>
    <w:rsid w:val="0082217B"/>
    <w:rsid w:val="00836BC1"/>
    <w:rsid w:val="00850894"/>
    <w:rsid w:val="0085651E"/>
    <w:rsid w:val="00883237"/>
    <w:rsid w:val="00886478"/>
    <w:rsid w:val="00895528"/>
    <w:rsid w:val="008B2BF2"/>
    <w:rsid w:val="008B5A1B"/>
    <w:rsid w:val="008B6C9C"/>
    <w:rsid w:val="008C18BC"/>
    <w:rsid w:val="008C35DB"/>
    <w:rsid w:val="008D0522"/>
    <w:rsid w:val="008D1AF3"/>
    <w:rsid w:val="008E10C9"/>
    <w:rsid w:val="008F31CD"/>
    <w:rsid w:val="008F4D29"/>
    <w:rsid w:val="008F6132"/>
    <w:rsid w:val="00901560"/>
    <w:rsid w:val="009153E5"/>
    <w:rsid w:val="009212A4"/>
    <w:rsid w:val="0093447B"/>
    <w:rsid w:val="00944A95"/>
    <w:rsid w:val="00950CF6"/>
    <w:rsid w:val="00952DCA"/>
    <w:rsid w:val="0095312D"/>
    <w:rsid w:val="009633D4"/>
    <w:rsid w:val="00963C62"/>
    <w:rsid w:val="00964B73"/>
    <w:rsid w:val="0096623A"/>
    <w:rsid w:val="00975EAB"/>
    <w:rsid w:val="0097647D"/>
    <w:rsid w:val="0098687C"/>
    <w:rsid w:val="009954B5"/>
    <w:rsid w:val="009B1550"/>
    <w:rsid w:val="009B4E84"/>
    <w:rsid w:val="009C701E"/>
    <w:rsid w:val="009E5EBF"/>
    <w:rsid w:val="009E651D"/>
    <w:rsid w:val="009F48D3"/>
    <w:rsid w:val="009F4BE3"/>
    <w:rsid w:val="00A04BE3"/>
    <w:rsid w:val="00A06115"/>
    <w:rsid w:val="00A1068D"/>
    <w:rsid w:val="00A43232"/>
    <w:rsid w:val="00A500BB"/>
    <w:rsid w:val="00A5027D"/>
    <w:rsid w:val="00A53FEA"/>
    <w:rsid w:val="00A579B7"/>
    <w:rsid w:val="00A66546"/>
    <w:rsid w:val="00A823E2"/>
    <w:rsid w:val="00A92C34"/>
    <w:rsid w:val="00AA34B8"/>
    <w:rsid w:val="00AB0BF9"/>
    <w:rsid w:val="00AB2506"/>
    <w:rsid w:val="00AC2737"/>
    <w:rsid w:val="00AD07B8"/>
    <w:rsid w:val="00AF0B8A"/>
    <w:rsid w:val="00AF658D"/>
    <w:rsid w:val="00B05107"/>
    <w:rsid w:val="00B05627"/>
    <w:rsid w:val="00B15C12"/>
    <w:rsid w:val="00B24C0B"/>
    <w:rsid w:val="00B3403C"/>
    <w:rsid w:val="00B40E4E"/>
    <w:rsid w:val="00B42E19"/>
    <w:rsid w:val="00B452F2"/>
    <w:rsid w:val="00B4551F"/>
    <w:rsid w:val="00B65C14"/>
    <w:rsid w:val="00B70A67"/>
    <w:rsid w:val="00B77EC8"/>
    <w:rsid w:val="00B87CBD"/>
    <w:rsid w:val="00B96082"/>
    <w:rsid w:val="00BA5294"/>
    <w:rsid w:val="00BA53AA"/>
    <w:rsid w:val="00BB1CD3"/>
    <w:rsid w:val="00BF3247"/>
    <w:rsid w:val="00C017CB"/>
    <w:rsid w:val="00C02079"/>
    <w:rsid w:val="00C07173"/>
    <w:rsid w:val="00C172E9"/>
    <w:rsid w:val="00C17433"/>
    <w:rsid w:val="00C21956"/>
    <w:rsid w:val="00C22646"/>
    <w:rsid w:val="00C3133B"/>
    <w:rsid w:val="00C52CA3"/>
    <w:rsid w:val="00C57BF1"/>
    <w:rsid w:val="00C62022"/>
    <w:rsid w:val="00C81347"/>
    <w:rsid w:val="00C83005"/>
    <w:rsid w:val="00C9737F"/>
    <w:rsid w:val="00CB1F7A"/>
    <w:rsid w:val="00CC72D7"/>
    <w:rsid w:val="00CD4C3D"/>
    <w:rsid w:val="00CE5899"/>
    <w:rsid w:val="00CF60B7"/>
    <w:rsid w:val="00D05950"/>
    <w:rsid w:val="00D15D11"/>
    <w:rsid w:val="00D270A0"/>
    <w:rsid w:val="00D31E52"/>
    <w:rsid w:val="00D52B2A"/>
    <w:rsid w:val="00D65C7A"/>
    <w:rsid w:val="00D74C58"/>
    <w:rsid w:val="00D7673B"/>
    <w:rsid w:val="00D83D98"/>
    <w:rsid w:val="00D97468"/>
    <w:rsid w:val="00DA2EF0"/>
    <w:rsid w:val="00DA7AC6"/>
    <w:rsid w:val="00DB1F3D"/>
    <w:rsid w:val="00DE709A"/>
    <w:rsid w:val="00DF0653"/>
    <w:rsid w:val="00DF0E53"/>
    <w:rsid w:val="00DF2B2F"/>
    <w:rsid w:val="00E03E05"/>
    <w:rsid w:val="00E20D9C"/>
    <w:rsid w:val="00E37303"/>
    <w:rsid w:val="00E464AD"/>
    <w:rsid w:val="00E50090"/>
    <w:rsid w:val="00E5678F"/>
    <w:rsid w:val="00E62F33"/>
    <w:rsid w:val="00E63867"/>
    <w:rsid w:val="00E706A4"/>
    <w:rsid w:val="00E72B5F"/>
    <w:rsid w:val="00E73CE3"/>
    <w:rsid w:val="00E91C1E"/>
    <w:rsid w:val="00E925D2"/>
    <w:rsid w:val="00EB09AE"/>
    <w:rsid w:val="00EB313E"/>
    <w:rsid w:val="00EC0DCA"/>
    <w:rsid w:val="00EC2D5F"/>
    <w:rsid w:val="00EC38C4"/>
    <w:rsid w:val="00EC7F35"/>
    <w:rsid w:val="00ED27C3"/>
    <w:rsid w:val="00ED7012"/>
    <w:rsid w:val="00EE6CDD"/>
    <w:rsid w:val="00EE7854"/>
    <w:rsid w:val="00EF21C3"/>
    <w:rsid w:val="00EF4A02"/>
    <w:rsid w:val="00EF4E74"/>
    <w:rsid w:val="00F03EE5"/>
    <w:rsid w:val="00F102E2"/>
    <w:rsid w:val="00F13ED3"/>
    <w:rsid w:val="00F2232F"/>
    <w:rsid w:val="00F24EC7"/>
    <w:rsid w:val="00F52DC7"/>
    <w:rsid w:val="00F6536F"/>
    <w:rsid w:val="00F80B34"/>
    <w:rsid w:val="00F83D13"/>
    <w:rsid w:val="00F9000E"/>
    <w:rsid w:val="00F97A27"/>
    <w:rsid w:val="00FA4DD6"/>
    <w:rsid w:val="00FB2461"/>
    <w:rsid w:val="00FB61E8"/>
    <w:rsid w:val="00FE4612"/>
    <w:rsid w:val="00FF05E9"/>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4</Pages>
  <Words>1040</Words>
  <Characters>5933</Characters>
  <Application>Microsoft Office Word</Application>
  <DocSecurity>0</DocSecurity>
  <Lines>49</Lines>
  <Paragraphs>13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2023-11-06T20:55:00Z</cp:lastPrinted>
  <dcterms:created xsi:type="dcterms:W3CDTF">2023-11-06T20:55:00Z</dcterms:created>
  <dcterms:modified xsi:type="dcterms:W3CDTF">2023-11-06T20:55:00Z</dcterms:modified>
</cp:coreProperties>
</file>