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57EBD" w14:textId="77777777" w:rsidR="00444116" w:rsidRPr="005F7776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بسم الله الرحمن الرحيم</w:t>
      </w:r>
    </w:p>
    <w:p w14:paraId="141C04A3" w14:textId="77777777" w:rsidR="00444116" w:rsidRPr="005F7776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والصلاة والسلام على أشرف الأنبياء والمرسلين، محمد وآله الطيبين الطاهرين</w:t>
      </w:r>
    </w:p>
    <w:p w14:paraId="4E13AA74" w14:textId="77777777" w:rsidR="00B644E2" w:rsidRDefault="00AC2737" w:rsidP="00700C70">
      <w:pPr>
        <w:pStyle w:val="a0"/>
        <w:bidi/>
        <w:spacing w:line="216" w:lineRule="auto"/>
        <w:jc w:val="center"/>
        <w:rPr>
          <w:rFonts w:ascii="mylotus" w:hAnsi="mylotus"/>
          <w:sz w:val="34"/>
          <w:szCs w:val="34"/>
          <w:rtl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واللعن الدائم على أعدائهم أجمعين إلى قيام يوم الدين</w:t>
      </w:r>
      <w:r w:rsidR="002339F1" w:rsidRPr="005F7776">
        <w:rPr>
          <w:rFonts w:ascii="mylotus" w:hAnsi="mylotus"/>
          <w:b/>
          <w:bCs/>
          <w:sz w:val="34"/>
          <w:szCs w:val="34"/>
          <w:rtl/>
        </w:rPr>
        <w:t xml:space="preserve"> </w:t>
      </w:r>
    </w:p>
    <w:p w14:paraId="637EFB48" w14:textId="77777777" w:rsidR="00B644E2" w:rsidRDefault="00B644E2" w:rsidP="008E4752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  <w:lang w:bidi="ar-IQ"/>
        </w:rPr>
      </w:pPr>
    </w:p>
    <w:p w14:paraId="18F18F94" w14:textId="77777777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b/>
          <w:bCs/>
          <w:sz w:val="34"/>
          <w:szCs w:val="34"/>
          <w:rtl/>
        </w:rPr>
      </w:pPr>
      <w:r w:rsidRPr="008E4752">
        <w:rPr>
          <w:rFonts w:ascii="Times New Roman" w:hAnsi="Times New Roman" w:cs="Times New Roman"/>
          <w:b/>
          <w:bCs/>
          <w:sz w:val="34"/>
          <w:szCs w:val="34"/>
        </w:rPr>
        <w:t>•</w:t>
      </w:r>
      <w:r w:rsidRPr="008E4752">
        <w:rPr>
          <w:rFonts w:ascii="mylotus" w:hAnsi="mylotus"/>
          <w:b/>
          <w:bCs/>
          <w:sz w:val="34"/>
          <w:szCs w:val="34"/>
        </w:rPr>
        <w:tab/>
      </w:r>
      <w:r w:rsidRPr="008E4752">
        <w:rPr>
          <w:rFonts w:ascii="mylotus" w:hAnsi="mylotus"/>
          <w:b/>
          <w:bCs/>
          <w:sz w:val="34"/>
          <w:szCs w:val="34"/>
          <w:rtl/>
        </w:rPr>
        <w:t>مبحث النواهي</w:t>
      </w:r>
    </w:p>
    <w:p w14:paraId="061DD837" w14:textId="77777777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الفصل الأول:</w:t>
      </w:r>
      <w:r w:rsidRPr="008E4752">
        <w:rPr>
          <w:rFonts w:ascii="mylotus" w:hAnsi="mylotus"/>
          <w:sz w:val="34"/>
          <w:szCs w:val="34"/>
          <w:rtl/>
        </w:rPr>
        <w:t xml:space="preserve"> يقع البحث في مادة النهي وصيغته، وذلك في عدة جهات</w:t>
      </w:r>
      <w:r w:rsidRPr="008E4752">
        <w:rPr>
          <w:rFonts w:ascii="mylotus" w:hAnsi="mylotus"/>
          <w:sz w:val="34"/>
          <w:szCs w:val="34"/>
        </w:rPr>
        <w:t>:</w:t>
      </w:r>
    </w:p>
    <w:p w14:paraId="41FC7957" w14:textId="5342F210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الجهة الأولى:</w:t>
      </w:r>
      <w:r w:rsidRPr="008E4752">
        <w:rPr>
          <w:rFonts w:ascii="mylotus" w:hAnsi="mylotus"/>
          <w:sz w:val="34"/>
          <w:szCs w:val="34"/>
          <w:rtl/>
        </w:rPr>
        <w:t xml:space="preserve"> في بيان ما هو المفهوم العرفي للنهي مادة أو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صيغة؟</w:t>
      </w:r>
    </w:p>
    <w:p w14:paraId="0DC7E3C3" w14:textId="77777777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وقبل ذكر الأقوال في هذه الجهة، لا بد من تحديد ما هو محل البحث؟ وذلك من خلال أمرين</w:t>
      </w:r>
      <w:r w:rsidRPr="008E4752">
        <w:rPr>
          <w:rFonts w:ascii="mylotus" w:hAnsi="mylotus"/>
          <w:sz w:val="34"/>
          <w:szCs w:val="34"/>
        </w:rPr>
        <w:t>:</w:t>
      </w:r>
    </w:p>
    <w:p w14:paraId="41AA9247" w14:textId="0C131991" w:rsidR="008E4752" w:rsidRDefault="008E4752" w:rsidP="008E4752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الأمر الأول: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قد يقال</w:t>
      </w:r>
      <w:r w:rsidR="00FB5141">
        <w:rPr>
          <w:rFonts w:ascii="mylotus" w:hAnsi="mylotus"/>
          <w:sz w:val="34"/>
          <w:szCs w:val="34"/>
          <w:rtl/>
        </w:rPr>
        <w:t>:</w:t>
      </w:r>
      <w:r w:rsidRPr="008E4752">
        <w:rPr>
          <w:rFonts w:ascii="mylotus" w:hAnsi="mylotus"/>
          <w:sz w:val="34"/>
          <w:szCs w:val="34"/>
          <w:rtl/>
        </w:rPr>
        <w:t xml:space="preserve"> إن المسألة الأصولية هي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وقعت طريقا</w:t>
      </w:r>
      <w:r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في مجال استنباط الحكم الشرعي الكلي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وبما أن تحديد المعنى اللغوي لبعض الألفاظ أو الجمل أو الهيئات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له تمام الدخالة في ذلك كان البحث عن </w:t>
      </w:r>
      <w:proofErr w:type="spellStart"/>
      <w:r w:rsidRPr="008E4752">
        <w:rPr>
          <w:rFonts w:ascii="mylotus" w:hAnsi="mylotus"/>
          <w:sz w:val="34"/>
          <w:szCs w:val="34"/>
          <w:rtl/>
        </w:rPr>
        <w:t>المداليل</w:t>
      </w:r>
      <w:proofErr w:type="spellEnd"/>
      <w:r w:rsidRPr="008E4752">
        <w:rPr>
          <w:rFonts w:ascii="mylotus" w:hAnsi="mylotus"/>
          <w:sz w:val="34"/>
          <w:szCs w:val="34"/>
          <w:rtl/>
        </w:rPr>
        <w:t xml:space="preserve"> اللغوية للألفاظ أو الهيئات أو الجمل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المتك</w:t>
      </w:r>
      <w:r>
        <w:rPr>
          <w:rFonts w:ascii="mylotus" w:hAnsi="mylotus"/>
          <w:sz w:val="34"/>
          <w:szCs w:val="34"/>
          <w:rtl/>
        </w:rPr>
        <w:t>ررة في ألسنة الأدلة (كالبحث في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ظهور ألفاظ العبادات والم</w:t>
      </w:r>
      <w:r>
        <w:rPr>
          <w:rFonts w:ascii="mylotus" w:hAnsi="mylotus"/>
          <w:sz w:val="34"/>
          <w:szCs w:val="34"/>
          <w:rtl/>
        </w:rPr>
        <w:t>عاملات في خصوص الصحيح أو الأعم</w:t>
      </w:r>
      <w:r>
        <w:rPr>
          <w:rFonts w:ascii="mylotus" w:hAnsi="mylotus" w:hint="cs"/>
          <w:sz w:val="34"/>
          <w:szCs w:val="34"/>
          <w:rtl/>
        </w:rPr>
        <w:t>،</w:t>
      </w:r>
      <w:r>
        <w:rPr>
          <w:rFonts w:ascii="mylotus" w:hAnsi="mylotus"/>
          <w:sz w:val="34"/>
          <w:szCs w:val="34"/>
          <w:rtl/>
        </w:rPr>
        <w:t xml:space="preserve"> أو البحث في المشتق</w:t>
      </w:r>
      <w:r>
        <w:rPr>
          <w:rFonts w:ascii="mylotus" w:hAnsi="mylotus" w:hint="c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أو البحث في ثبوت ا</w:t>
      </w:r>
      <w:r>
        <w:rPr>
          <w:rFonts w:ascii="mylotus" w:hAnsi="mylotus"/>
          <w:sz w:val="34"/>
          <w:szCs w:val="34"/>
          <w:rtl/>
        </w:rPr>
        <w:t>لمفهوم للجملة الشرطية والوصفية</w:t>
      </w:r>
      <w:r w:rsidRPr="008E4752">
        <w:rPr>
          <w:rFonts w:ascii="mylotus" w:hAnsi="mylotus"/>
          <w:sz w:val="34"/>
          <w:szCs w:val="34"/>
          <w:rtl/>
        </w:rPr>
        <w:t>) من زاوية البحث اللغوي والعرفي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من صميم المسائل الأصولية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وبن</w:t>
      </w:r>
      <w:r>
        <w:rPr>
          <w:rFonts w:ascii="mylotus" w:hAnsi="mylotus"/>
          <w:sz w:val="34"/>
          <w:szCs w:val="34"/>
          <w:rtl/>
        </w:rPr>
        <w:t>اء على ذلك فإن البحث في مفهوم -الأمر والنهي مادة وصيغة</w:t>
      </w:r>
      <w:r w:rsidRPr="008E4752">
        <w:rPr>
          <w:rFonts w:ascii="mylotus" w:hAnsi="mylotus"/>
          <w:sz w:val="34"/>
          <w:szCs w:val="34"/>
          <w:rtl/>
        </w:rPr>
        <w:t>- حول المدلول اللغوي والعرفي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كالبحث ح</w:t>
      </w:r>
      <w:r>
        <w:rPr>
          <w:rFonts w:ascii="mylotus" w:hAnsi="mylotus"/>
          <w:sz w:val="34"/>
          <w:szCs w:val="34"/>
          <w:rtl/>
        </w:rPr>
        <w:t>ول المعنى اللغوي والعرفي لجملة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ينبغي</w:t>
      </w:r>
      <w:r>
        <w:rPr>
          <w:rFonts w:ascii="mylotus" w:hAnsi="mylotus" w:hint="cs"/>
          <w:sz w:val="34"/>
          <w:szCs w:val="34"/>
          <w:rtl/>
        </w:rPr>
        <w:t>)،</w:t>
      </w:r>
      <w:r w:rsidRPr="008E4752">
        <w:rPr>
          <w:rFonts w:ascii="mylotus" w:hAnsi="mylotus"/>
          <w:sz w:val="34"/>
          <w:szCs w:val="34"/>
          <w:rtl/>
        </w:rPr>
        <w:t xml:space="preserve"> ولذا تضمنت بعض البحوث الأولية</w:t>
      </w:r>
      <w:r>
        <w:rPr>
          <w:rFonts w:ascii="mylotus" w:hAnsi="mylotus"/>
          <w:sz w:val="34"/>
          <w:szCs w:val="34"/>
          <w:rtl/>
        </w:rPr>
        <w:t xml:space="preserve"> في المقام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البحث حول الأصول ال</w:t>
      </w:r>
      <w:r>
        <w:rPr>
          <w:rFonts w:ascii="mylotus" w:hAnsi="mylotus" w:hint="cs"/>
          <w:sz w:val="34"/>
          <w:szCs w:val="34"/>
          <w:rtl/>
        </w:rPr>
        <w:t>ا</w:t>
      </w:r>
      <w:r>
        <w:rPr>
          <w:rFonts w:ascii="mylotus" w:hAnsi="mylotus"/>
          <w:sz w:val="34"/>
          <w:szCs w:val="34"/>
          <w:rtl/>
        </w:rPr>
        <w:t>شتقاقية لمادة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ن ه</w:t>
      </w:r>
      <w:r>
        <w:rPr>
          <w:rFonts w:ascii="mylotus" w:hAnsi="mylotus" w:hint="cs"/>
          <w:sz w:val="34"/>
          <w:szCs w:val="34"/>
          <w:rtl/>
        </w:rPr>
        <w:t>ـ</w:t>
      </w:r>
      <w:r w:rsidRPr="008E4752">
        <w:rPr>
          <w:rFonts w:ascii="mylotus" w:hAnsi="mylotus"/>
          <w:sz w:val="34"/>
          <w:szCs w:val="34"/>
          <w:rtl/>
        </w:rPr>
        <w:t xml:space="preserve"> ي</w:t>
      </w:r>
      <w:r>
        <w:rPr>
          <w:rFonts w:ascii="mylotus" w:hAnsi="mylotus" w:hint="cs"/>
          <w:sz w:val="34"/>
          <w:szCs w:val="34"/>
          <w:rtl/>
        </w:rPr>
        <w:t>)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في اللغة العربية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هو المعنى المشترك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بين عنوان النهي وعنوان النها</w:t>
      </w:r>
      <w:r w:rsidR="00FB5141">
        <w:rPr>
          <w:rFonts w:ascii="mylotus" w:hAnsi="mylotus"/>
          <w:sz w:val="34"/>
          <w:szCs w:val="34"/>
          <w:rtl/>
        </w:rPr>
        <w:t>ية والانتهاء، و</w:t>
      </w:r>
      <w:r>
        <w:rPr>
          <w:rFonts w:ascii="mylotus" w:hAnsi="mylotus"/>
          <w:sz w:val="34"/>
          <w:szCs w:val="34"/>
          <w:rtl/>
        </w:rPr>
        <w:t>البحث حول صيغة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تفعل</w:t>
      </w:r>
      <w:r>
        <w:rPr>
          <w:rFonts w:ascii="mylotus" w:hAnsi="mylotus" w:hint="cs"/>
          <w:sz w:val="34"/>
          <w:szCs w:val="34"/>
          <w:rtl/>
        </w:rPr>
        <w:t>)</w:t>
      </w:r>
      <w:r>
        <w:rPr>
          <w:rFonts w:ascii="mylotus" w:hAnsi="mylotus"/>
          <w:sz w:val="34"/>
          <w:szCs w:val="34"/>
          <w:rtl/>
        </w:rPr>
        <w:t xml:space="preserve"> من حيث إن تصنيف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>)</w:t>
      </w:r>
      <w:r w:rsidRPr="008E4752">
        <w:rPr>
          <w:rFonts w:ascii="mylotus" w:hAnsi="mylotus"/>
          <w:sz w:val="34"/>
          <w:szCs w:val="34"/>
          <w:rtl/>
        </w:rPr>
        <w:t xml:space="preserve"> إلى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النافية والناهية مشترك لفظي أو معنوي</w:t>
      </w:r>
      <w:r w:rsidR="00FB5141">
        <w:rPr>
          <w:rFonts w:ascii="mylotus" w:hAnsi="mylotus"/>
          <w:sz w:val="34"/>
          <w:szCs w:val="34"/>
          <w:rtl/>
        </w:rPr>
        <w:t>،</w:t>
      </w:r>
      <w:r>
        <w:rPr>
          <w:rFonts w:ascii="mylotus" w:hAnsi="mylotus"/>
          <w:sz w:val="34"/>
          <w:szCs w:val="34"/>
          <w:rtl/>
        </w:rPr>
        <w:t xml:space="preserve"> ودخالة ذلك في معنى النهي لغة</w:t>
      </w:r>
      <w:r>
        <w:rPr>
          <w:rFonts w:ascii="mylotus" w:hAnsi="mylotus" w:hint="cs"/>
          <w:sz w:val="34"/>
          <w:szCs w:val="34"/>
          <w:rtl/>
        </w:rPr>
        <w:t>.</w:t>
      </w:r>
    </w:p>
    <w:p w14:paraId="48796B8F" w14:textId="5C500DB1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ولكن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ذكر ليس تاما</w:t>
      </w:r>
      <w:r>
        <w:rPr>
          <w:rFonts w:ascii="mylotus" w:hAnsi="mylotus" w:hint="cs"/>
          <w:sz w:val="34"/>
          <w:szCs w:val="34"/>
          <w:rtl/>
        </w:rPr>
        <w:t>ً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والوجه في ذلك أن هناك فرقا</w:t>
      </w:r>
      <w:r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بين الموارد فإن العنوان أو الهيئة تارة </w:t>
      </w:r>
      <w:r>
        <w:rPr>
          <w:rFonts w:ascii="mylotus" w:hAnsi="mylotus"/>
          <w:sz w:val="34"/>
          <w:szCs w:val="34"/>
          <w:rtl/>
        </w:rPr>
        <w:t>يكون من خواص اللغة العربية نحو</w:t>
      </w:r>
      <w:r>
        <w:rPr>
          <w:rFonts w:ascii="mylotus" w:hAnsi="mylotus" w:hint="cs"/>
          <w:sz w:val="34"/>
          <w:szCs w:val="34"/>
          <w:rtl/>
        </w:rPr>
        <w:t>: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 ينبغي</w:t>
      </w:r>
      <w:r>
        <w:rPr>
          <w:rFonts w:ascii="mylotus" w:hAnsi="mylotus" w:hint="cs"/>
          <w:sz w:val="34"/>
          <w:szCs w:val="34"/>
          <w:rtl/>
        </w:rPr>
        <w:t>)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أو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تنقض</w:t>
      </w:r>
      <w:r>
        <w:rPr>
          <w:rFonts w:ascii="mylotus" w:hAnsi="mylotus" w:hint="cs"/>
          <w:sz w:val="34"/>
          <w:szCs w:val="34"/>
          <w:rtl/>
        </w:rPr>
        <w:t>)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أو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ب</w:t>
      </w:r>
      <w:r>
        <w:rPr>
          <w:rFonts w:ascii="mylotus" w:hAnsi="mylotus" w:hint="cs"/>
          <w:sz w:val="34"/>
          <w:szCs w:val="34"/>
          <w:rtl/>
        </w:rPr>
        <w:t>أ</w:t>
      </w:r>
      <w:r w:rsidRPr="008E4752">
        <w:rPr>
          <w:rFonts w:ascii="mylotus" w:hAnsi="mylotus"/>
          <w:sz w:val="34"/>
          <w:szCs w:val="34"/>
          <w:rtl/>
        </w:rPr>
        <w:t>س</w:t>
      </w:r>
      <w:r>
        <w:rPr>
          <w:rFonts w:ascii="mylotus" w:hAnsi="mylotus" w:hint="cs"/>
          <w:sz w:val="34"/>
          <w:szCs w:val="34"/>
          <w:rtl/>
        </w:rPr>
        <w:t>)،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ونحو هيئة المشتق</w:t>
      </w:r>
      <w:r w:rsidRPr="008E4752">
        <w:rPr>
          <w:rFonts w:ascii="mylotus" w:hAnsi="mylotus"/>
          <w:sz w:val="34"/>
          <w:szCs w:val="34"/>
          <w:rtl/>
        </w:rPr>
        <w:t xml:space="preserve"> والفارق بين الوصف والشرط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وحينئذ يكون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البحث عن مدلوله اللغوي وما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يفهمه العرف العربي من العنوان عند إطلاقه من المسألة الأصولية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وأما إذا كان العنوان في حد ذاته عنوانا لحقيقة اعتبارية عقلائية عامة من دون اختصاص بلغة معينة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فما هو موضوع الآثار الشرع</w:t>
      </w:r>
      <w:r>
        <w:rPr>
          <w:rFonts w:ascii="mylotus" w:hAnsi="mylotus"/>
          <w:sz w:val="34"/>
          <w:szCs w:val="34"/>
          <w:rtl/>
        </w:rPr>
        <w:t>ية أو العقلائية المترتبة عليه -</w:t>
      </w:r>
      <w:proofErr w:type="spellStart"/>
      <w:r w:rsidRPr="008E4752">
        <w:rPr>
          <w:rFonts w:ascii="mylotus" w:hAnsi="mylotus"/>
          <w:sz w:val="34"/>
          <w:szCs w:val="34"/>
          <w:rtl/>
        </w:rPr>
        <w:t>كالمنجزية</w:t>
      </w:r>
      <w:proofErr w:type="spellEnd"/>
      <w:r w:rsidRPr="008E4752">
        <w:rPr>
          <w:rFonts w:ascii="mylotus" w:hAnsi="mylotus"/>
          <w:sz w:val="34"/>
          <w:szCs w:val="34"/>
          <w:rtl/>
        </w:rPr>
        <w:t xml:space="preserve"> </w:t>
      </w:r>
      <w:proofErr w:type="spellStart"/>
      <w:r w:rsidRPr="008E4752">
        <w:rPr>
          <w:rFonts w:ascii="mylotus" w:hAnsi="mylotus"/>
          <w:sz w:val="34"/>
          <w:szCs w:val="34"/>
          <w:rtl/>
        </w:rPr>
        <w:t>والمعذرية</w:t>
      </w:r>
      <w:proofErr w:type="spellEnd"/>
      <w:r w:rsidRPr="008E4752">
        <w:rPr>
          <w:rFonts w:ascii="mylotus" w:hAnsi="mylotus"/>
          <w:sz w:val="34"/>
          <w:szCs w:val="34"/>
          <w:rtl/>
        </w:rPr>
        <w:t>- هو مفهومه العرفي العام لدى العقلاء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خصوص العرف العربي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فمثلا</w:t>
      </w:r>
      <w:r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>: إذا ورد عنوان البيع في الدليل</w:t>
      </w:r>
      <w:r>
        <w:rPr>
          <w:rFonts w:ascii="mylotus" w:hAnsi="mylotus"/>
          <w:sz w:val="34"/>
          <w:szCs w:val="34"/>
          <w:rtl/>
        </w:rPr>
        <w:t xml:space="preserve"> اللفظي نحو</w:t>
      </w:r>
      <w:r>
        <w:rPr>
          <w:rFonts w:ascii="mylotus" w:hAnsi="mylotus" w:hint="cs"/>
          <w:sz w:val="34"/>
          <w:szCs w:val="34"/>
          <w:rtl/>
        </w:rPr>
        <w:t>:</w:t>
      </w:r>
      <w:r>
        <w:rPr>
          <w:rFonts w:ascii="mylotus" w:hAnsi="mylotus"/>
          <w:sz w:val="34"/>
          <w:szCs w:val="34"/>
          <w:rtl/>
        </w:rPr>
        <w:t xml:space="preserve"> (</w:t>
      </w:r>
      <w:r w:rsidRPr="008E4752">
        <w:rPr>
          <w:rFonts w:ascii="mylotus" w:hAnsi="mylotus"/>
          <w:sz w:val="34"/>
          <w:szCs w:val="34"/>
          <w:rtl/>
        </w:rPr>
        <w:t>نهى النبي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ص</w:t>
      </w:r>
      <w:r>
        <w:rPr>
          <w:rFonts w:ascii="mylotus" w:hAnsi="mylotus" w:hint="cs"/>
          <w:sz w:val="34"/>
          <w:szCs w:val="34"/>
          <w:rtl/>
        </w:rPr>
        <w:t>لى الله عليه وآله</w:t>
      </w:r>
      <w:r w:rsidRPr="008E4752">
        <w:rPr>
          <w:rFonts w:ascii="mylotus" w:hAnsi="mylotus"/>
          <w:sz w:val="34"/>
          <w:szCs w:val="34"/>
          <w:rtl/>
        </w:rPr>
        <w:t xml:space="preserve"> عن سلف وبيع وعن بيعين </w:t>
      </w:r>
      <w:r>
        <w:rPr>
          <w:rFonts w:ascii="mylotus" w:hAnsi="mylotus"/>
          <w:sz w:val="34"/>
          <w:szCs w:val="34"/>
          <w:rtl/>
        </w:rPr>
        <w:t xml:space="preserve">في </w:t>
      </w:r>
      <w:r>
        <w:rPr>
          <w:rFonts w:ascii="mylotus" w:hAnsi="mylotus"/>
          <w:sz w:val="34"/>
          <w:szCs w:val="34"/>
          <w:rtl/>
        </w:rPr>
        <w:lastRenderedPageBreak/>
        <w:t>بيع</w:t>
      </w:r>
      <w:r w:rsidRPr="008E4752">
        <w:rPr>
          <w:rFonts w:ascii="mylotus" w:hAnsi="mylotus"/>
          <w:sz w:val="34"/>
          <w:szCs w:val="34"/>
          <w:rtl/>
        </w:rPr>
        <w:t>)</w:t>
      </w:r>
      <w:r>
        <w:rPr>
          <w:rFonts w:ascii="mylotus" w:hAnsi="mylotus" w:hint="c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فإنه 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يصار في تحديد معنى الب</w:t>
      </w:r>
      <w:r>
        <w:rPr>
          <w:rFonts w:ascii="mylotus" w:hAnsi="mylotus"/>
          <w:sz w:val="34"/>
          <w:szCs w:val="34"/>
          <w:rtl/>
        </w:rPr>
        <w:t>يع هنا -الذي ترتب عليه أثر شرعي- إلى الرجوع للمادة ال</w:t>
      </w:r>
      <w:r>
        <w:rPr>
          <w:rFonts w:ascii="mylotus" w:hAnsi="mylotus" w:hint="cs"/>
          <w:sz w:val="34"/>
          <w:szCs w:val="34"/>
          <w:rtl/>
        </w:rPr>
        <w:t>ا</w:t>
      </w:r>
      <w:r>
        <w:rPr>
          <w:rFonts w:ascii="mylotus" w:hAnsi="mylotus"/>
          <w:sz w:val="34"/>
          <w:szCs w:val="34"/>
          <w:rtl/>
        </w:rPr>
        <w:t>شتقاقية ل</w:t>
      </w:r>
      <w:r>
        <w:rPr>
          <w:rFonts w:ascii="mylotus" w:hAnsi="mylotus" w:hint="cs"/>
          <w:sz w:val="34"/>
          <w:szCs w:val="34"/>
          <w:rtl/>
        </w:rPr>
        <w:t>ـ</w:t>
      </w:r>
      <w:r w:rsidRPr="008E4752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>
        <w:rPr>
          <w:rFonts w:ascii="mylotus" w:hAnsi="mylotus"/>
          <w:sz w:val="34"/>
          <w:szCs w:val="34"/>
          <w:rtl/>
        </w:rPr>
        <w:t>ب</w:t>
      </w:r>
      <w:r w:rsidRPr="008E4752">
        <w:rPr>
          <w:rFonts w:ascii="mylotus" w:hAnsi="mylotus"/>
          <w:sz w:val="34"/>
          <w:szCs w:val="34"/>
          <w:rtl/>
        </w:rPr>
        <w:t xml:space="preserve"> ي ع</w:t>
      </w:r>
      <w:r>
        <w:rPr>
          <w:rFonts w:ascii="mylotus" w:hAnsi="mylotus" w:hint="cs"/>
          <w:sz w:val="34"/>
          <w:szCs w:val="34"/>
          <w:rtl/>
        </w:rPr>
        <w:t>)</w:t>
      </w:r>
      <w:r w:rsidRPr="008E4752">
        <w:rPr>
          <w:rFonts w:ascii="mylotus" w:hAnsi="mylotus"/>
          <w:sz w:val="34"/>
          <w:szCs w:val="34"/>
          <w:rtl/>
        </w:rPr>
        <w:t xml:space="preserve"> وما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هو الجامع بينه وبين عنوان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البيع</w:t>
      </w:r>
      <w:r>
        <w:rPr>
          <w:rFonts w:ascii="mylotus" w:hAnsi="mylotus" w:hint="c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بل يلاحظ مفهومه لدى العرف العقلائي العام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لأنه عنوان لح</w:t>
      </w:r>
      <w:r>
        <w:rPr>
          <w:rFonts w:ascii="mylotus" w:hAnsi="mylotus"/>
          <w:sz w:val="34"/>
          <w:szCs w:val="34"/>
          <w:rtl/>
        </w:rPr>
        <w:t>قيقة عقلائية عامة</w:t>
      </w:r>
      <w:r w:rsidR="00FB5141">
        <w:rPr>
          <w:rFonts w:ascii="mylotus" w:hAnsi="mylotus"/>
          <w:sz w:val="34"/>
          <w:szCs w:val="34"/>
          <w:rtl/>
        </w:rPr>
        <w:t>،</w:t>
      </w:r>
      <w:r>
        <w:rPr>
          <w:rFonts w:ascii="mylotus" w:hAnsi="mylotus"/>
          <w:sz w:val="34"/>
          <w:szCs w:val="34"/>
          <w:rtl/>
        </w:rPr>
        <w:t xml:space="preserve"> وكذا عنوان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(</w:t>
      </w:r>
      <w:r>
        <w:rPr>
          <w:rFonts w:ascii="mylotus" w:hAnsi="mylotus"/>
          <w:sz w:val="34"/>
          <w:szCs w:val="34"/>
          <w:rtl/>
        </w:rPr>
        <w:t>المال</w:t>
      </w:r>
      <w:r>
        <w:rPr>
          <w:rFonts w:ascii="mylotus" w:hAnsi="mylotus" w:hint="cs"/>
          <w:sz w:val="34"/>
          <w:szCs w:val="34"/>
          <w:rtl/>
        </w:rPr>
        <w:t>)</w:t>
      </w:r>
      <w:r>
        <w:rPr>
          <w:rFonts w:ascii="mylotus" w:hAnsi="mylotus"/>
          <w:sz w:val="34"/>
          <w:szCs w:val="34"/>
          <w:rtl/>
        </w:rPr>
        <w:t xml:space="preserve"> و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الملك</w:t>
      </w:r>
      <w:r>
        <w:rPr>
          <w:rFonts w:ascii="mylotus" w:hAnsi="mylotus" w:hint="cs"/>
          <w:sz w:val="34"/>
          <w:szCs w:val="34"/>
          <w:rtl/>
        </w:rPr>
        <w:t>)</w:t>
      </w:r>
      <w:r w:rsidRPr="008E4752">
        <w:rPr>
          <w:rFonts w:ascii="mylotus" w:hAnsi="mylotus"/>
          <w:sz w:val="34"/>
          <w:szCs w:val="34"/>
          <w:rtl/>
        </w:rPr>
        <w:t xml:space="preserve"> و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الحق</w:t>
      </w:r>
      <w:r>
        <w:rPr>
          <w:rFonts w:ascii="mylotus" w:hAnsi="mylotus" w:hint="cs"/>
          <w:sz w:val="34"/>
          <w:szCs w:val="34"/>
          <w:rtl/>
        </w:rPr>
        <w:t>)</w:t>
      </w:r>
      <w:r w:rsidRPr="008E4752">
        <w:rPr>
          <w:rFonts w:ascii="mylotus" w:hAnsi="mylotus"/>
          <w:sz w:val="34"/>
          <w:szCs w:val="34"/>
          <w:rtl/>
        </w:rPr>
        <w:t xml:space="preserve"> و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الإرث</w:t>
      </w:r>
      <w:r>
        <w:rPr>
          <w:rFonts w:ascii="mylotus" w:hAnsi="mylotus" w:hint="cs"/>
          <w:sz w:val="34"/>
          <w:szCs w:val="34"/>
          <w:rtl/>
        </w:rPr>
        <w:t>)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و</w:t>
      </w:r>
      <w:r>
        <w:rPr>
          <w:rFonts w:ascii="mylotus" w:hAnsi="mylotus" w:hint="c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>الزوجية</w:t>
      </w:r>
      <w:r>
        <w:rPr>
          <w:rFonts w:ascii="mylotus" w:hAnsi="mylotus" w:hint="cs"/>
          <w:sz w:val="34"/>
          <w:szCs w:val="34"/>
          <w:rtl/>
        </w:rPr>
        <w:t>)</w:t>
      </w:r>
      <w:r w:rsidRPr="008E4752">
        <w:rPr>
          <w:rFonts w:ascii="mylotus" w:hAnsi="mylotus"/>
          <w:sz w:val="34"/>
          <w:szCs w:val="34"/>
          <w:rtl/>
        </w:rPr>
        <w:t xml:space="preserve"> ونحو ذلك</w:t>
      </w:r>
      <w:r w:rsidR="00FB5141">
        <w:rPr>
          <w:rFonts w:ascii="mylotus" w:hAnsi="mylotus"/>
          <w:sz w:val="34"/>
          <w:szCs w:val="34"/>
          <w:rtl/>
        </w:rPr>
        <w:t>، و</w:t>
      </w:r>
      <w:r w:rsidRPr="008E4752">
        <w:rPr>
          <w:rFonts w:ascii="mylotus" w:hAnsi="mylotus"/>
          <w:sz w:val="34"/>
          <w:szCs w:val="34"/>
          <w:rtl/>
        </w:rPr>
        <w:t>هذه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من الحقائق الاعتبارية العقلائية </w:t>
      </w:r>
      <w:r>
        <w:rPr>
          <w:rFonts w:ascii="mylotus" w:hAnsi="mylotus" w:hint="cs"/>
          <w:sz w:val="34"/>
          <w:szCs w:val="34"/>
          <w:rtl/>
        </w:rPr>
        <w:t>-</w:t>
      </w:r>
      <w:r>
        <w:rPr>
          <w:rFonts w:ascii="mylotus" w:hAnsi="mylotus"/>
          <w:sz w:val="34"/>
          <w:szCs w:val="34"/>
          <w:rtl/>
        </w:rPr>
        <w:t>حقيقة الأمر</w:t>
      </w:r>
      <w:r w:rsidRPr="008E4752">
        <w:rPr>
          <w:rFonts w:ascii="mylotus" w:hAnsi="mylotus"/>
          <w:sz w:val="34"/>
          <w:szCs w:val="34"/>
          <w:rtl/>
        </w:rPr>
        <w:t xml:space="preserve"> وحقيقة النهي</w:t>
      </w:r>
      <w:r>
        <w:rPr>
          <w:rFonts w:ascii="mylotus" w:hAnsi="mylotus" w:hint="cs"/>
          <w:sz w:val="34"/>
          <w:szCs w:val="34"/>
          <w:rtl/>
        </w:rPr>
        <w:t>-</w:t>
      </w:r>
      <w:r w:rsidRPr="008E4752">
        <w:rPr>
          <w:rFonts w:ascii="mylotus" w:hAnsi="mylotus"/>
          <w:sz w:val="34"/>
          <w:szCs w:val="34"/>
          <w:rtl/>
        </w:rPr>
        <w:t>، حيث إن لدى العقلاء أوامر ونواهٍ، مما يعني أن البحث ليس حول المدلول اللغوي لمادة النهي أو صيغته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وإنما البحث في 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النهي عند العرف العقلائي العام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بغض النظر عن المنصرف من اللفظ في العرف العربي</w:t>
      </w:r>
      <w:r w:rsidR="00FB5141">
        <w:rPr>
          <w:rFonts w:ascii="mylotus" w:hAnsi="mylotus"/>
          <w:sz w:val="34"/>
          <w:szCs w:val="34"/>
          <w:rtl/>
        </w:rPr>
        <w:t>.</w:t>
      </w:r>
    </w:p>
    <w:p w14:paraId="492549C7" w14:textId="1E9C7CDB" w:rsidR="008E4752" w:rsidRDefault="008E4752" w:rsidP="00FB5141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الأمر الثاني:</w:t>
      </w:r>
      <w:r w:rsidRPr="008E4752">
        <w:rPr>
          <w:rFonts w:ascii="mylotus" w:hAnsi="mylotus"/>
          <w:sz w:val="34"/>
          <w:szCs w:val="34"/>
          <w:rtl/>
        </w:rPr>
        <w:t xml:space="preserve"> أن محل البحث ليس في المفهوم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التصديقي، وإنما في المفهوم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التصوري، حيث إن المفهوم التصديقي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للنهي أو الأمر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هو 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كان مصداقا</w:t>
      </w:r>
      <w:r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للنهي الفعلي بالحمل الشائع</w:t>
      </w:r>
      <w:r w:rsidR="00FB5141">
        <w:rPr>
          <w:rFonts w:ascii="mylotus" w:hAnsi="mylotus"/>
          <w:sz w:val="34"/>
          <w:szCs w:val="34"/>
          <w:rtl/>
        </w:rPr>
        <w:t>، و</w:t>
      </w:r>
      <w:r w:rsidRPr="008E4752">
        <w:rPr>
          <w:rFonts w:ascii="mylotus" w:hAnsi="mylotus"/>
          <w:sz w:val="34"/>
          <w:szCs w:val="34"/>
          <w:rtl/>
        </w:rPr>
        <w:t>ما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كان مصداقا</w:t>
      </w:r>
      <w:r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للنهي والأمر بالحمل الشائع هو المتقوم بعنصرين</w:t>
      </w:r>
      <w:r>
        <w:rPr>
          <w:rFonts w:ascii="mylotus" w:hAnsi="mylotus" w:hint="cs"/>
          <w:sz w:val="34"/>
          <w:szCs w:val="34"/>
          <w:rtl/>
        </w:rPr>
        <w:t>:</w:t>
      </w:r>
      <w:r w:rsidR="00FB5141">
        <w:rPr>
          <w:rFonts w:ascii="mylotus" w:hAnsi="mylotus" w:hint="c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١- ال</w:t>
      </w:r>
      <w:r>
        <w:rPr>
          <w:rFonts w:ascii="mylotus" w:hAnsi="mylotus" w:hint="cs"/>
          <w:sz w:val="34"/>
          <w:szCs w:val="34"/>
          <w:rtl/>
        </w:rPr>
        <w:t>ا</w:t>
      </w:r>
      <w:r w:rsidRPr="008E4752">
        <w:rPr>
          <w:rFonts w:ascii="mylotus" w:hAnsi="mylotus"/>
          <w:sz w:val="34"/>
          <w:szCs w:val="34"/>
          <w:rtl/>
        </w:rPr>
        <w:t>لتفات</w:t>
      </w:r>
      <w:r>
        <w:rPr>
          <w:rFonts w:ascii="mylotus" w:hAnsi="mylotus" w:hint="cs"/>
          <w:sz w:val="34"/>
          <w:szCs w:val="34"/>
          <w:rtl/>
        </w:rPr>
        <w:t>. 2</w:t>
      </w:r>
      <w:r w:rsidRPr="008E4752">
        <w:rPr>
          <w:rFonts w:ascii="mylotus" w:hAnsi="mylotus"/>
          <w:sz w:val="34"/>
          <w:szCs w:val="34"/>
          <w:rtl/>
        </w:rPr>
        <w:t>- الإنشاء عن داع جدي</w:t>
      </w:r>
      <w:r>
        <w:rPr>
          <w:rFonts w:ascii="mylotus" w:hAnsi="mylotus" w:hint="cs"/>
          <w:sz w:val="34"/>
          <w:szCs w:val="34"/>
          <w:rtl/>
        </w:rPr>
        <w:t>.</w:t>
      </w:r>
    </w:p>
    <w:p w14:paraId="75201DDE" w14:textId="4D1D2F32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أي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إنما يتحقق المصداق الفعلي للنهي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إذا صدر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بإشارة أو لفظ بأي لغة من مولى عرفي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ملتفت بداعٍ جدي، كما إذا صدر النهي أو الأمر من الرئيس لشعبه أو الأب لأولاده</w:t>
      </w:r>
      <w:r w:rsidR="00FB5141">
        <w:rPr>
          <w:rFonts w:ascii="mylotus" w:hAnsi="mylotus" w:hint="cs"/>
          <w:sz w:val="34"/>
          <w:szCs w:val="34"/>
          <w:rtl/>
        </w:rPr>
        <w:t>.</w:t>
      </w:r>
      <w:r w:rsidRPr="008E4752">
        <w:rPr>
          <w:rFonts w:ascii="mylotus" w:hAnsi="mylotus"/>
          <w:sz w:val="34"/>
          <w:szCs w:val="34"/>
          <w:rtl/>
        </w:rPr>
        <w:t xml:space="preserve"> وهذا أيضاً ليس محل البحث فعلاً، بل محل البحث في المفهوم ال</w:t>
      </w:r>
      <w:r>
        <w:rPr>
          <w:rFonts w:ascii="mylotus" w:hAnsi="mylotus"/>
          <w:sz w:val="34"/>
          <w:szCs w:val="34"/>
          <w:rtl/>
        </w:rPr>
        <w:t>تصوري، كالبحث حول مفهوم البيع -</w:t>
      </w:r>
      <w:r w:rsidRPr="008E4752">
        <w:rPr>
          <w:rFonts w:ascii="mylotus" w:hAnsi="mylotus"/>
          <w:sz w:val="34"/>
          <w:szCs w:val="34"/>
          <w:rtl/>
        </w:rPr>
        <w:t>وأنه مب</w:t>
      </w:r>
      <w:r>
        <w:rPr>
          <w:rFonts w:ascii="mylotus" w:hAnsi="mylotus"/>
          <w:sz w:val="34"/>
          <w:szCs w:val="34"/>
          <w:rtl/>
        </w:rPr>
        <w:t>ادلة مال بمال أو تمليك عين بعوض</w:t>
      </w:r>
      <w:r w:rsidRPr="008E4752">
        <w:rPr>
          <w:rFonts w:ascii="mylotus" w:hAnsi="mylotus"/>
          <w:sz w:val="34"/>
          <w:szCs w:val="34"/>
          <w:rtl/>
        </w:rPr>
        <w:t>- بغ</w:t>
      </w:r>
      <w:r>
        <w:rPr>
          <w:rFonts w:ascii="mylotus" w:hAnsi="mylotus"/>
          <w:sz w:val="34"/>
          <w:szCs w:val="34"/>
          <w:rtl/>
        </w:rPr>
        <w:t>ض النظر عن البيع بالحمل الشائع</w:t>
      </w:r>
      <w:r w:rsidRPr="008E4752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 w:hint="cs"/>
          <w:sz w:val="34"/>
          <w:szCs w:val="34"/>
          <w:rtl/>
        </w:rPr>
        <w:t>-</w:t>
      </w:r>
      <w:r w:rsidRPr="008E4752">
        <w:rPr>
          <w:rFonts w:ascii="mylotus" w:hAnsi="mylotus"/>
          <w:sz w:val="34"/>
          <w:szCs w:val="34"/>
          <w:rtl/>
        </w:rPr>
        <w:t>وهو البيع الصادر ع</w:t>
      </w:r>
      <w:r>
        <w:rPr>
          <w:rFonts w:ascii="mylotus" w:hAnsi="mylotus"/>
          <w:sz w:val="34"/>
          <w:szCs w:val="34"/>
          <w:rtl/>
        </w:rPr>
        <w:t>ن إنشاء من المتعاملين بداع جدي</w:t>
      </w:r>
      <w:r w:rsidRPr="008E4752">
        <w:rPr>
          <w:rFonts w:ascii="mylotus" w:hAnsi="mylotus"/>
          <w:sz w:val="34"/>
          <w:szCs w:val="34"/>
          <w:rtl/>
        </w:rPr>
        <w:t>-</w:t>
      </w:r>
      <w:r>
        <w:rPr>
          <w:rFonts w:ascii="mylotus" w:hAnsi="mylotus" w:hint="c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فكذلك البحث في المقام هو بحث</w:t>
      </w:r>
      <w:r>
        <w:rPr>
          <w:rFonts w:ascii="mylotus" w:hAnsi="mylotus"/>
          <w:sz w:val="34"/>
          <w:szCs w:val="34"/>
          <w:rtl/>
        </w:rPr>
        <w:t xml:space="preserve"> عن 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>
        <w:rPr>
          <w:rFonts w:ascii="mylotus" w:hAnsi="mylotus"/>
          <w:sz w:val="34"/>
          <w:szCs w:val="34"/>
          <w:rtl/>
        </w:rPr>
        <w:t>النهي أو ما يرادفه -</w:t>
      </w:r>
      <w:r w:rsidRPr="008E4752">
        <w:rPr>
          <w:rFonts w:ascii="mylotus" w:hAnsi="mylotus"/>
          <w:sz w:val="34"/>
          <w:szCs w:val="34"/>
          <w:rtl/>
        </w:rPr>
        <w:t>في اللغة الف</w:t>
      </w:r>
      <w:r>
        <w:rPr>
          <w:rFonts w:ascii="mylotus" w:hAnsi="mylotus"/>
          <w:sz w:val="34"/>
          <w:szCs w:val="34"/>
          <w:rtl/>
        </w:rPr>
        <w:t>ارسية أو الإنجليزية أو الفرنسية</w:t>
      </w:r>
      <w:r w:rsidRPr="008E4752">
        <w:rPr>
          <w:rFonts w:ascii="mylotus" w:hAnsi="mylotus"/>
          <w:sz w:val="34"/>
          <w:szCs w:val="34"/>
          <w:rtl/>
        </w:rPr>
        <w:t>-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من دون أن يكون منوطاً </w:t>
      </w:r>
      <w:r>
        <w:rPr>
          <w:rFonts w:ascii="mylotus" w:hAnsi="mylotus"/>
          <w:sz w:val="34"/>
          <w:szCs w:val="34"/>
          <w:rtl/>
        </w:rPr>
        <w:t>بالتفات أو بداعٍ معين، والنتيجة</w:t>
      </w:r>
      <w:r w:rsidRPr="008E4752">
        <w:rPr>
          <w:rFonts w:ascii="mylotus" w:hAnsi="mylotus"/>
          <w:sz w:val="34"/>
          <w:szCs w:val="34"/>
          <w:rtl/>
        </w:rPr>
        <w:t>: أنه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ليس البحث في المقام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في المدلول اللغوي العربي لكلمة نهي، ولا في المفهوم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التصديقي للنهي الصادر عن ملتفت بداعٍ جدي، لأن هناك خلطا في بعض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الأقوال في المقام بين موارد البحث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وإنما البحث في المفهوم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التصوري لهذه الحقيقة العرفية العقلائية العامة، بغض النظر عن تحققها خارجاً ودواعيها؟</w:t>
      </w:r>
    </w:p>
    <w:p w14:paraId="6C26D471" w14:textId="77777777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b/>
          <w:bCs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وقد ذكر في المقام ثلاثة أقوال</w:t>
      </w:r>
      <w:r w:rsidRPr="008E4752">
        <w:rPr>
          <w:rFonts w:ascii="mylotus" w:hAnsi="mylotus"/>
          <w:b/>
          <w:bCs/>
          <w:sz w:val="34"/>
          <w:szCs w:val="34"/>
        </w:rPr>
        <w:t>:</w:t>
      </w:r>
    </w:p>
    <w:p w14:paraId="5B0ABE9B" w14:textId="75151E92" w:rsidR="008E4752" w:rsidRDefault="008E4752" w:rsidP="008E4752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 w:rsidRPr="008E4752">
        <w:rPr>
          <w:rFonts w:ascii="mylotus" w:hAnsi="mylotus"/>
          <w:b/>
          <w:bCs/>
          <w:sz w:val="34"/>
          <w:szCs w:val="34"/>
          <w:rtl/>
        </w:rPr>
        <w:t>القول الأول:</w:t>
      </w:r>
      <w:r w:rsidRPr="008E4752">
        <w:rPr>
          <w:rFonts w:ascii="mylotus" w:hAnsi="mylotus"/>
          <w:sz w:val="34"/>
          <w:szCs w:val="34"/>
          <w:rtl/>
        </w:rPr>
        <w:t xml:space="preserve"> أن النهي مفهوماً -سواء كان مادة النهي أو صيغة النهي- يعني الزجر الإنشائي. وبيان ذلك: أن الزجر تارة يكون زجراً خارجياً، كالضرب باليد، وتارة يكون زجراً إنشائياً، وهو الزجر بالإشارة أو باللفظ</w:t>
      </w:r>
      <w:r w:rsidR="00FB5141">
        <w:rPr>
          <w:rFonts w:ascii="mylotus" w:hAnsi="mylotus"/>
          <w:sz w:val="34"/>
          <w:szCs w:val="34"/>
          <w:rtl/>
        </w:rPr>
        <w:t>، نظير الترجي و</w:t>
      </w:r>
      <w:r w:rsidRPr="008E4752">
        <w:rPr>
          <w:rFonts w:ascii="mylotus" w:hAnsi="mylotus"/>
          <w:sz w:val="34"/>
          <w:szCs w:val="34"/>
          <w:rtl/>
        </w:rPr>
        <w:t>التمني، فإن التمني تارة يكون تمنياً حقيقياً وهو التمني في النفس، وتارة يكون مجرد إنشاء التمني بلفظ (</w:t>
      </w:r>
      <w:r>
        <w:rPr>
          <w:rFonts w:ascii="mylotus" w:hAnsi="mylotus"/>
          <w:sz w:val="34"/>
          <w:szCs w:val="34"/>
          <w:rtl/>
        </w:rPr>
        <w:t>ليت) وإن لم يكن هناك تمنٍ حقيقي</w:t>
      </w:r>
      <w:r>
        <w:rPr>
          <w:rFonts w:ascii="mylotus" w:hAnsi="mylotus" w:hint="cs"/>
          <w:sz w:val="34"/>
          <w:szCs w:val="34"/>
          <w:rtl/>
        </w:rPr>
        <w:t>. و</w:t>
      </w:r>
      <w:r w:rsidRPr="008E4752">
        <w:rPr>
          <w:rFonts w:ascii="mylotus" w:hAnsi="mylotus"/>
          <w:sz w:val="34"/>
          <w:szCs w:val="34"/>
          <w:rtl/>
        </w:rPr>
        <w:t>قد استُعمل عنوان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النهي في الموردين كما استُعمل عنوان ا</w:t>
      </w:r>
      <w:r>
        <w:rPr>
          <w:rFonts w:ascii="mylotus" w:hAnsi="mylotus"/>
          <w:sz w:val="34"/>
          <w:szCs w:val="34"/>
          <w:rtl/>
        </w:rPr>
        <w:t xml:space="preserve">لأمر، فإن الأمر </w:t>
      </w:r>
      <w:r>
        <w:rPr>
          <w:rFonts w:ascii="mylotus" w:hAnsi="mylotus" w:hint="cs"/>
          <w:sz w:val="34"/>
          <w:szCs w:val="34"/>
          <w:rtl/>
        </w:rPr>
        <w:t>-</w:t>
      </w:r>
      <w:r>
        <w:rPr>
          <w:rFonts w:ascii="mylotus" w:hAnsi="mylotus"/>
          <w:sz w:val="34"/>
          <w:szCs w:val="34"/>
          <w:rtl/>
        </w:rPr>
        <w:t>الذي يعني البعث</w:t>
      </w:r>
      <w:r>
        <w:rPr>
          <w:rFonts w:ascii="mylotus" w:hAnsi="mylotus" w:hint="cs"/>
          <w:sz w:val="34"/>
          <w:szCs w:val="34"/>
          <w:rtl/>
        </w:rPr>
        <w:t>-</w:t>
      </w:r>
      <w:r w:rsidRPr="008E4752">
        <w:rPr>
          <w:rFonts w:ascii="mylotus" w:hAnsi="mylotus"/>
          <w:sz w:val="34"/>
          <w:szCs w:val="34"/>
          <w:rtl/>
        </w:rPr>
        <w:t xml:space="preserve"> قد يستعمل في ما </w:t>
      </w:r>
      <w:r w:rsidRPr="008E4752">
        <w:rPr>
          <w:rFonts w:ascii="mylotus" w:hAnsi="mylotus"/>
          <w:sz w:val="34"/>
          <w:szCs w:val="34"/>
          <w:rtl/>
        </w:rPr>
        <w:lastRenderedPageBreak/>
        <w:t>يكون بعثاً خارجياً</w:t>
      </w:r>
      <w:r>
        <w:rPr>
          <w:rFonts w:ascii="mylotus" w:hAnsi="mylotus" w:hint="cs"/>
          <w:sz w:val="34"/>
          <w:szCs w:val="34"/>
          <w:rtl/>
        </w:rPr>
        <w:t xml:space="preserve"> نحو</w:t>
      </w:r>
      <w:r w:rsidRPr="008E4752">
        <w:rPr>
          <w:rFonts w:ascii="mylotus" w:hAnsi="mylotus"/>
          <w:sz w:val="34"/>
          <w:szCs w:val="34"/>
          <w:rtl/>
        </w:rPr>
        <w:t>: ﴿أَصَلَاتُكَ تَأْمُرُكَ أَن نَّتْرُكَ مَا يَعْبُدُ آبَاؤُنَا﴾ أي</w:t>
      </w:r>
      <w:r w:rsidR="00FB5141">
        <w:rPr>
          <w:rFonts w:ascii="mylotus" w:hAnsi="mylotus"/>
          <w:sz w:val="34"/>
          <w:szCs w:val="34"/>
          <w:rtl/>
        </w:rPr>
        <w:t>:</w:t>
      </w:r>
      <w:r w:rsidRPr="008E4752">
        <w:rPr>
          <w:rFonts w:ascii="mylotus" w:hAnsi="mylotus"/>
          <w:sz w:val="34"/>
          <w:szCs w:val="34"/>
          <w:rtl/>
        </w:rPr>
        <w:t xml:space="preserve"> أصل</w:t>
      </w:r>
      <w:r>
        <w:rPr>
          <w:rFonts w:ascii="mylotus" w:hAnsi="mylotus"/>
          <w:sz w:val="34"/>
          <w:szCs w:val="34"/>
          <w:rtl/>
        </w:rPr>
        <w:t>اتك تبعثك على أن نترك ذلك؟ أو</w:t>
      </w:r>
      <w:r w:rsidRPr="008E4752">
        <w:rPr>
          <w:rFonts w:ascii="mylotus" w:hAnsi="mylotus"/>
          <w:sz w:val="34"/>
          <w:szCs w:val="34"/>
          <w:rtl/>
        </w:rPr>
        <w:t>: ﴿بِئْسَمَا يَأْمُرُكُم بِهِ إِيمَانُكُمْ﴾ أي يبعثكم عليه، فالأمر هنا بمعنى البعث الخارجي. وقد يستعمل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بمعنى إنشاء البعث، لا البعث الخارجي، كما إذا قال: (أقم الصلاة)، فهو إنشاءٌ للبعث. كذلك عنوان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النهي: قد يُستعمل بمعنى الزجر الخارجي: ﴿إِنَّ الصَّلَاةَ </w:t>
      </w:r>
      <w:proofErr w:type="spellStart"/>
      <w:r w:rsidRPr="008E4752">
        <w:rPr>
          <w:rFonts w:ascii="mylotus" w:hAnsi="mylotus"/>
          <w:sz w:val="34"/>
          <w:szCs w:val="34"/>
          <w:rtl/>
        </w:rPr>
        <w:t>تَنْهَىٰ</w:t>
      </w:r>
      <w:proofErr w:type="spellEnd"/>
      <w:r w:rsidRPr="008E4752">
        <w:rPr>
          <w:rFonts w:ascii="mylotus" w:hAnsi="mylotus"/>
          <w:sz w:val="34"/>
          <w:szCs w:val="34"/>
          <w:rtl/>
        </w:rPr>
        <w:t xml:space="preserve"> عَنِ الْفَحْشَاءِ وَالْمُنكَرِ﴾، أو: ﴿وَأَمَّا مَنْ خَافَ مَقَامَ رَبِّهِ وَنَهَى النَّفْسَ عَنِ </w:t>
      </w:r>
      <w:proofErr w:type="spellStart"/>
      <w:r w:rsidRPr="008E4752">
        <w:rPr>
          <w:rFonts w:ascii="mylotus" w:hAnsi="mylotus"/>
          <w:sz w:val="34"/>
          <w:szCs w:val="34"/>
          <w:rtl/>
        </w:rPr>
        <w:t>الْهَوَىٰ</w:t>
      </w:r>
      <w:proofErr w:type="spellEnd"/>
      <w:r w:rsidRPr="008E4752">
        <w:rPr>
          <w:rFonts w:ascii="mylotus" w:hAnsi="mylotus"/>
          <w:sz w:val="34"/>
          <w:szCs w:val="34"/>
          <w:rtl/>
        </w:rPr>
        <w:t>﴾ أي زجرها زجراً تكوينياً خارجياً. وقد يستعمل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بمعنى إنشاء الزجر، نحو: (لت</w:t>
      </w:r>
      <w:r>
        <w:rPr>
          <w:rFonts w:ascii="mylotus" w:hAnsi="mylotus"/>
          <w:sz w:val="34"/>
          <w:szCs w:val="34"/>
          <w:rtl/>
        </w:rPr>
        <w:t xml:space="preserve">أمرن بالمعروف ولتنهن عن المنكر). </w:t>
      </w:r>
      <w:r>
        <w:rPr>
          <w:rFonts w:ascii="mylotus" w:hAnsi="mylotus" w:hint="cs"/>
          <w:sz w:val="34"/>
          <w:szCs w:val="34"/>
          <w:rtl/>
        </w:rPr>
        <w:t>إ</w:t>
      </w:r>
      <w:r w:rsidRPr="008E4752">
        <w:rPr>
          <w:rFonts w:ascii="mylotus" w:hAnsi="mylotus"/>
          <w:sz w:val="34"/>
          <w:szCs w:val="34"/>
          <w:rtl/>
        </w:rPr>
        <w:t>لا أنه عن</w:t>
      </w:r>
      <w:r>
        <w:rPr>
          <w:rFonts w:ascii="mylotus" w:hAnsi="mylotus"/>
          <w:sz w:val="34"/>
          <w:szCs w:val="34"/>
          <w:rtl/>
        </w:rPr>
        <w:t>د تجرده من القرائن السياقية وال</w:t>
      </w:r>
      <w:r>
        <w:rPr>
          <w:rFonts w:ascii="mylotus" w:hAnsi="mylotus" w:hint="cs"/>
          <w:sz w:val="34"/>
          <w:szCs w:val="34"/>
          <w:rtl/>
        </w:rPr>
        <w:t>ا</w:t>
      </w:r>
      <w:r w:rsidRPr="008E4752">
        <w:rPr>
          <w:rFonts w:ascii="mylotus" w:hAnsi="mylotus"/>
          <w:sz w:val="34"/>
          <w:szCs w:val="34"/>
          <w:rtl/>
        </w:rPr>
        <w:t>رتكازية هل يستفاد منه طبي</w:t>
      </w:r>
      <w:r>
        <w:rPr>
          <w:rFonts w:ascii="mylotus" w:hAnsi="mylotus"/>
          <w:sz w:val="34"/>
          <w:szCs w:val="34"/>
          <w:rtl/>
        </w:rPr>
        <w:t>عي الزجر أم خصوص الزجر الإنشائي</w:t>
      </w:r>
      <w:r w:rsidRPr="008E4752">
        <w:rPr>
          <w:rFonts w:ascii="mylotus" w:hAnsi="mylotus"/>
          <w:sz w:val="34"/>
          <w:szCs w:val="34"/>
          <w:rtl/>
        </w:rPr>
        <w:t>؟ ولذلك وقع بحث فقهي: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وهو أن الآيات والروايات الواردة في باب الأمر بالمعروف والنهي عن المنكر نظير قوله عز وجل: ﴿وَلْتَكُن مِّنكُمْ أُمَّةٌ يَدْعُونَ إِلَى الْخَيْرِ وَيَأْمُرُونَ بِالْمَعْرُوفِ وَيَنْهَوْنَ عَنِ الْمُنكَرِ﴾، هل المراد بالنهي عن المنكر فيها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خصوص الزجر الإنشائي، باللفظ أو بالإشارة أو ما أشبه ذلك، ولا دلالة فيها على أكثر من ذلك، أم أنها تدل على مطلوبية طبيعي الزجر الذي قد يكون خارجيا</w:t>
      </w:r>
      <w:r>
        <w:rPr>
          <w:rFonts w:ascii="mylotus" w:hAnsi="mylotus" w:hint="cs"/>
          <w:sz w:val="34"/>
          <w:szCs w:val="34"/>
          <w:rtl/>
        </w:rPr>
        <w:t>ً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كأن يتصدى للضرب أو المنع الخارجي</w:t>
      </w:r>
      <w:r>
        <w:rPr>
          <w:rFonts w:ascii="mylotus" w:hAnsi="mylotus" w:hint="cs"/>
          <w:sz w:val="34"/>
          <w:szCs w:val="34"/>
          <w:rtl/>
        </w:rPr>
        <w:t>؟</w:t>
      </w:r>
    </w:p>
    <w:p w14:paraId="6F05CBA2" w14:textId="22E5E4F9" w:rsidR="00FB5141" w:rsidRDefault="008E4752" w:rsidP="008E4752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>
        <w:rPr>
          <w:rFonts w:ascii="mylotus" w:hAnsi="mylotus"/>
          <w:sz w:val="34"/>
          <w:szCs w:val="34"/>
          <w:rtl/>
        </w:rPr>
        <w:t>و</w:t>
      </w:r>
      <w:r w:rsidRPr="008E4752">
        <w:rPr>
          <w:rFonts w:ascii="mylotus" w:hAnsi="mylotus"/>
          <w:sz w:val="34"/>
          <w:szCs w:val="34"/>
          <w:rtl/>
        </w:rPr>
        <w:t xml:space="preserve">قد ذهب بعض الفقهاء </w:t>
      </w:r>
      <w:r>
        <w:rPr>
          <w:rFonts w:ascii="mylotus" w:hAnsi="mylotus" w:hint="cs"/>
          <w:sz w:val="34"/>
          <w:szCs w:val="34"/>
          <w:rtl/>
        </w:rPr>
        <w:t>-</w:t>
      </w:r>
      <w:r w:rsidRPr="008E4752">
        <w:rPr>
          <w:rFonts w:ascii="mylotus" w:hAnsi="mylotus"/>
          <w:sz w:val="34"/>
          <w:szCs w:val="34"/>
          <w:rtl/>
        </w:rPr>
        <w:t>كبعض الأكابر قدس سره</w:t>
      </w:r>
      <w:r>
        <w:rPr>
          <w:rFonts w:ascii="mylotus" w:hAnsi="mylotus" w:hint="cs"/>
          <w:sz w:val="34"/>
          <w:szCs w:val="34"/>
          <w:rtl/>
        </w:rPr>
        <w:t>-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إلى أن النهي في النصوص الشريفة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أعم من الزجر الإنشائي والزجر الخارجي، بل هو أعم من الرفع والدفع؛ أي كما يجب رفع المنكرات فإنه يجب منع حصولها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ولعله مبني على نتيجة البحث في المقام أو أنه استند لمجموعة من القرائن منها سياق روايات التشديد على مواجهة ا</w:t>
      </w:r>
      <w:r w:rsidR="00FB5141">
        <w:rPr>
          <w:rFonts w:ascii="mylotus" w:hAnsi="mylotus"/>
          <w:sz w:val="34"/>
          <w:szCs w:val="34"/>
          <w:rtl/>
        </w:rPr>
        <w:t>لمنكر ومناسبة الحكم للموضوع</w:t>
      </w:r>
      <w:r w:rsidR="00FB5141">
        <w:rPr>
          <w:rFonts w:ascii="mylotus" w:hAnsi="mylotus" w:hint="cs"/>
          <w:sz w:val="34"/>
          <w:szCs w:val="34"/>
          <w:rtl/>
        </w:rPr>
        <w:t>.</w:t>
      </w:r>
    </w:p>
    <w:p w14:paraId="2623655D" w14:textId="746EB0A7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والإنصاف أنه: لو ورد عنوان مجردا</w:t>
      </w:r>
      <w:r w:rsidR="00FB5141"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عن جميع القرائن، سواء كانت سياقية أو ارتكازية، لم يُستف</w:t>
      </w:r>
      <w:r w:rsidR="00FB5141">
        <w:rPr>
          <w:rFonts w:ascii="mylotus" w:hAnsi="mylotus"/>
          <w:sz w:val="34"/>
          <w:szCs w:val="34"/>
          <w:rtl/>
        </w:rPr>
        <w:t>د منه أكثر من الزجر الإنشائي، و</w:t>
      </w:r>
      <w:r w:rsidRPr="008E4752">
        <w:rPr>
          <w:rFonts w:ascii="mylotus" w:hAnsi="mylotus"/>
          <w:sz w:val="34"/>
          <w:szCs w:val="34"/>
          <w:rtl/>
        </w:rPr>
        <w:t>كان استخدامه في الزجر الخارجي مما يحتاج إلى قرائن سياقية؛ كمناسبة الحكم للموضوع، أو قرائن ارتكازية كالمرت</w:t>
      </w:r>
      <w:r w:rsidR="00FB5141">
        <w:rPr>
          <w:rFonts w:ascii="mylotus" w:hAnsi="mylotus"/>
          <w:sz w:val="34"/>
          <w:szCs w:val="34"/>
          <w:rtl/>
        </w:rPr>
        <w:t>كزات الفقهية أو العقلائية، والوجه في ذلك</w:t>
      </w:r>
      <w:r w:rsidRPr="008E4752">
        <w:rPr>
          <w:rFonts w:ascii="mylotus" w:hAnsi="mylotus"/>
          <w:sz w:val="34"/>
          <w:szCs w:val="34"/>
          <w:rtl/>
        </w:rPr>
        <w:t>: أن النهي حقيقة اعتبارية عقلائية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وهي لدى العرف العام من سنخ الأمور الإنشائية سواء كانت باللفظ أو بالفعل</w:t>
      </w:r>
      <w:r w:rsidR="00FB5141">
        <w:rPr>
          <w:rFonts w:ascii="mylotus" w:hAnsi="mylotus"/>
          <w:sz w:val="34"/>
          <w:szCs w:val="34"/>
          <w:rtl/>
        </w:rPr>
        <w:t xml:space="preserve"> كالإشارة</w:t>
      </w:r>
      <w:r w:rsidR="00FB5141">
        <w:rPr>
          <w:rFonts w:ascii="mylotus" w:hAnsi="mylotus" w:hint="cs"/>
          <w:sz w:val="34"/>
          <w:szCs w:val="34"/>
          <w:rtl/>
        </w:rPr>
        <w:t>،</w:t>
      </w:r>
      <w:r w:rsidR="00FB5141">
        <w:rPr>
          <w:rFonts w:ascii="mylotus" w:hAnsi="mylotus"/>
          <w:sz w:val="34"/>
          <w:szCs w:val="34"/>
          <w:rtl/>
        </w:rPr>
        <w:t xml:space="preserve"> كما في ماهية البيع</w:t>
      </w:r>
      <w:r w:rsidRPr="008E4752">
        <w:rPr>
          <w:rFonts w:ascii="mylotus" w:hAnsi="mylotus"/>
          <w:sz w:val="34"/>
          <w:szCs w:val="34"/>
          <w:rtl/>
        </w:rPr>
        <w:t xml:space="preserve"> وليس لها مصداق تكويني خارجي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ولذلك لا</w:t>
      </w:r>
      <w:r w:rsidR="00FB5141"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يصدق عنوان النهي لدى العرف العام على الموانع والحدود والتعزيرات الخارجية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وإن كانت ردعا</w:t>
      </w:r>
      <w:r w:rsidR="00FB5141"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وزجرا</w:t>
      </w:r>
      <w:r w:rsidR="00FB5141">
        <w:rPr>
          <w:rFonts w:ascii="mylotus" w:hAnsi="mylotus" w:hint="cs"/>
          <w:sz w:val="34"/>
          <w:szCs w:val="34"/>
          <w:rtl/>
        </w:rPr>
        <w:t>ً</w:t>
      </w:r>
      <w:r w:rsidR="00FB5141">
        <w:rPr>
          <w:rFonts w:ascii="mylotus" w:hAnsi="mylotus"/>
          <w:sz w:val="34"/>
          <w:szCs w:val="34"/>
          <w:rtl/>
        </w:rPr>
        <w:t>.</w:t>
      </w:r>
    </w:p>
    <w:p w14:paraId="36F46C77" w14:textId="34E7AD1B" w:rsidR="008E4752" w:rsidRPr="008E4752" w:rsidRDefault="008E4752" w:rsidP="00FB5141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ولكن سيدنا الخوئي قدس سره [في المحاضرات ج4 ص84] ناقش في هذا القول -وهو أن النهي يعني الزجر-</w:t>
      </w:r>
      <w:r w:rsidR="00FB5141">
        <w:rPr>
          <w:rFonts w:ascii="mylotus" w:hAnsi="mylotus" w:hint="c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والسر في ذلك: بأن هناك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فرقا</w:t>
      </w:r>
      <w:r w:rsidR="00FB5141">
        <w:rPr>
          <w:rFonts w:ascii="mylotus" w:hAnsi="mylotus" w:hint="cs"/>
          <w:sz w:val="34"/>
          <w:szCs w:val="34"/>
          <w:rtl/>
        </w:rPr>
        <w:t>ً</w:t>
      </w:r>
      <w:r w:rsidRPr="008E4752">
        <w:rPr>
          <w:rFonts w:ascii="mylotus" w:hAnsi="mylotus"/>
          <w:sz w:val="34"/>
          <w:szCs w:val="34"/>
          <w:rtl/>
        </w:rPr>
        <w:t xml:space="preserve"> بين الزجر بالحمل الشائع والزجر بالحمل الأولي، فإن النهي زجر بالحمل الشائع، أي إذا صدر النهي من المولى تجاه عبده، أو من الأب تجاه ولده، صدق </w:t>
      </w:r>
      <w:r w:rsidRPr="008E4752">
        <w:rPr>
          <w:rFonts w:ascii="mylotus" w:hAnsi="mylotus"/>
          <w:sz w:val="34"/>
          <w:szCs w:val="34"/>
          <w:rtl/>
        </w:rPr>
        <w:lastRenderedPageBreak/>
        <w:t>عليه أنه زجر، فهو زجر بالحمل الشائع، وأما عنوان النه</w:t>
      </w:r>
      <w:r w:rsidR="00FB5141">
        <w:rPr>
          <w:rFonts w:ascii="mylotus" w:hAnsi="mylotus"/>
          <w:sz w:val="34"/>
          <w:szCs w:val="34"/>
          <w:rtl/>
        </w:rPr>
        <w:t>ي فلا يساوي مفهوماً عنوان الزجر</w:t>
      </w:r>
      <w:r w:rsidRPr="008E4752">
        <w:rPr>
          <w:rFonts w:ascii="mylotus" w:hAnsi="mylotus"/>
          <w:sz w:val="34"/>
          <w:szCs w:val="34"/>
          <w:rtl/>
        </w:rPr>
        <w:t>.</w:t>
      </w:r>
      <w:r w:rsidR="00FB5141"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وبالتالي فتفسير النهي بالزجر خلط بين المفهوم والمصداق</w:t>
      </w:r>
      <w:r w:rsidRPr="008E4752">
        <w:rPr>
          <w:rFonts w:ascii="mylotus" w:hAnsi="mylotus"/>
          <w:sz w:val="34"/>
          <w:szCs w:val="34"/>
        </w:rPr>
        <w:t>.</w:t>
      </w:r>
    </w:p>
    <w:p w14:paraId="59F1D63D" w14:textId="16F8853C" w:rsidR="008E4752" w:rsidRPr="008E4752" w:rsidRDefault="008E4752" w:rsidP="00FB5141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FB5141">
        <w:rPr>
          <w:rFonts w:ascii="mylotus" w:hAnsi="mylotus"/>
          <w:b/>
          <w:bCs/>
          <w:sz w:val="34"/>
          <w:szCs w:val="34"/>
          <w:rtl/>
        </w:rPr>
        <w:t>ولكن في ما ذكره قدس سره الشريف تأملا</w:t>
      </w:r>
      <w:r w:rsidR="00FB5141" w:rsidRPr="00FB5141">
        <w:rPr>
          <w:rFonts w:ascii="mylotus" w:hAnsi="mylotus" w:hint="cs"/>
          <w:b/>
          <w:bCs/>
          <w:sz w:val="34"/>
          <w:szCs w:val="34"/>
          <w:rtl/>
        </w:rPr>
        <w:t>ً:</w:t>
      </w:r>
      <w:r w:rsidRPr="008E4752">
        <w:rPr>
          <w:rFonts w:ascii="mylotus" w:hAnsi="mylotus"/>
          <w:sz w:val="34"/>
          <w:szCs w:val="34"/>
          <w:rtl/>
        </w:rPr>
        <w:t xml:space="preserve"> </w:t>
      </w:r>
      <w:r w:rsidR="00FB5141">
        <w:rPr>
          <w:rFonts w:ascii="mylotus" w:hAnsi="mylotus" w:hint="cs"/>
          <w:sz w:val="34"/>
          <w:szCs w:val="34"/>
          <w:rtl/>
        </w:rPr>
        <w:t>وهو</w:t>
      </w:r>
      <w:r w:rsidRPr="008E4752">
        <w:rPr>
          <w:rFonts w:ascii="mylotus" w:hAnsi="mylotus"/>
          <w:sz w:val="34"/>
          <w:szCs w:val="34"/>
          <w:rtl/>
        </w:rPr>
        <w:t xml:space="preserve"> أنه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منافٍ للوجدان العقلائي والعرفي، في أنه لا يفهم من حقيقة </w:t>
      </w:r>
      <w:r w:rsidR="00FB5141">
        <w:rPr>
          <w:rFonts w:ascii="mylotus" w:hAnsi="mylotus"/>
          <w:sz w:val="34"/>
          <w:szCs w:val="34"/>
          <w:rtl/>
        </w:rPr>
        <w:t>النهي إلا الزجر والردع الإنشائي</w:t>
      </w:r>
      <w:r w:rsidRPr="008E4752">
        <w:rPr>
          <w:rFonts w:ascii="mylotus" w:hAnsi="mylotus"/>
          <w:sz w:val="34"/>
          <w:szCs w:val="34"/>
          <w:rtl/>
        </w:rPr>
        <w:t>. وقد يقع أيضاً مصداقاً للزجر، وقد لا يقع مصداقاً له، كما لو صدر بداعي الامتحان، أو بداعي الاستهزاء، أو بداعي الاستنكار، إلا أنه بحسب المفهوم زجر وردع إنشائي</w:t>
      </w:r>
      <w:r w:rsidRPr="008E4752">
        <w:rPr>
          <w:rFonts w:ascii="mylotus" w:hAnsi="mylotus"/>
          <w:sz w:val="34"/>
          <w:szCs w:val="34"/>
        </w:rPr>
        <w:t>.</w:t>
      </w:r>
    </w:p>
    <w:p w14:paraId="2DB4C72A" w14:textId="51AE4193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>هذا هو القول الأول وهو الصحيح</w:t>
      </w:r>
      <w:r w:rsidR="00FB5141">
        <w:rPr>
          <w:rFonts w:ascii="mylotus" w:hAnsi="mylotus"/>
          <w:sz w:val="34"/>
          <w:szCs w:val="34"/>
          <w:rtl/>
        </w:rPr>
        <w:t>،</w:t>
      </w:r>
      <w:r w:rsidRPr="008E4752">
        <w:rPr>
          <w:rFonts w:ascii="mylotus" w:hAnsi="mylotus"/>
          <w:sz w:val="34"/>
          <w:szCs w:val="34"/>
          <w:rtl/>
        </w:rPr>
        <w:t xml:space="preserve"> ولا</w:t>
      </w:r>
      <w:r w:rsidR="00FB5141">
        <w:rPr>
          <w:rFonts w:ascii="mylotus" w:hAnsi="mylotus" w:hint="c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دليل عندنا غير الوجدان العقلائي</w:t>
      </w:r>
      <w:r w:rsidR="00FB5141">
        <w:rPr>
          <w:rFonts w:ascii="mylotus" w:hAnsi="mylotus"/>
          <w:sz w:val="34"/>
          <w:szCs w:val="34"/>
          <w:rtl/>
        </w:rPr>
        <w:t>.</w:t>
      </w:r>
    </w:p>
    <w:p w14:paraId="0B496A68" w14:textId="6D8544B5" w:rsidR="008E4752" w:rsidRP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FB5141">
        <w:rPr>
          <w:rFonts w:ascii="mylotus" w:hAnsi="mylotus"/>
          <w:b/>
          <w:bCs/>
          <w:sz w:val="34"/>
          <w:szCs w:val="34"/>
          <w:rtl/>
        </w:rPr>
        <w:t>القول الثاني:</w:t>
      </w:r>
      <w:r w:rsidRPr="008E4752">
        <w:rPr>
          <w:rFonts w:ascii="mylotus" w:hAnsi="mylotus"/>
          <w:sz w:val="34"/>
          <w:szCs w:val="34"/>
          <w:rtl/>
        </w:rPr>
        <w:t xml:space="preserve"> ما ذهب إليه سيدنا الخوئي قدس سره من أن مادة النهي وصيغة النهي تعني إبراز اعتبار نفساني</w:t>
      </w:r>
      <w:r w:rsidR="00FB5141">
        <w:rPr>
          <w:rFonts w:ascii="mylotus" w:hAnsi="mylotus" w:hint="cs"/>
          <w:sz w:val="34"/>
          <w:szCs w:val="34"/>
          <w:rtl/>
        </w:rPr>
        <w:t xml:space="preserve"> </w:t>
      </w:r>
      <w:r w:rsidR="00FB5141">
        <w:rPr>
          <w:rFonts w:ascii="mylotus" w:hAnsi="mylotus"/>
          <w:sz w:val="34"/>
          <w:szCs w:val="34"/>
          <w:rtl/>
        </w:rPr>
        <w:t>(</w:t>
      </w:r>
      <w:r w:rsidRPr="008E4752">
        <w:rPr>
          <w:rFonts w:ascii="mylotus" w:hAnsi="mylotus"/>
          <w:sz w:val="34"/>
          <w:szCs w:val="34"/>
          <w:rtl/>
        </w:rPr>
        <w:t xml:space="preserve">وهو اعتبار </w:t>
      </w:r>
      <w:proofErr w:type="spellStart"/>
      <w:r w:rsidRPr="008E4752">
        <w:rPr>
          <w:rFonts w:ascii="mylotus" w:hAnsi="mylotus"/>
          <w:sz w:val="34"/>
          <w:szCs w:val="34"/>
          <w:rtl/>
        </w:rPr>
        <w:t>المحرومية</w:t>
      </w:r>
      <w:proofErr w:type="spellEnd"/>
      <w:r w:rsidRPr="008E4752">
        <w:rPr>
          <w:rFonts w:ascii="mylotus" w:hAnsi="mylotus"/>
          <w:sz w:val="34"/>
          <w:szCs w:val="34"/>
          <w:rtl/>
        </w:rPr>
        <w:t xml:space="preserve"> على ذمة المكلف)،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فكما أن الأمر إبراز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 xml:space="preserve">اعتبار الفعل على ذمة المكلف، كما إذا قال: (آمرك بالسجود) أو (اسجد) فإن مفادهما إبراز اعتبار الفعل على الذمة، كذلك النهي إبراز اعتبار الحرمان -اعتبار </w:t>
      </w:r>
      <w:proofErr w:type="spellStart"/>
      <w:r w:rsidRPr="008E4752">
        <w:rPr>
          <w:rFonts w:ascii="mylotus" w:hAnsi="mylotus"/>
          <w:sz w:val="34"/>
          <w:szCs w:val="34"/>
          <w:rtl/>
        </w:rPr>
        <w:t>المحرومية</w:t>
      </w:r>
      <w:proofErr w:type="spellEnd"/>
      <w:r w:rsidRPr="008E4752">
        <w:rPr>
          <w:rFonts w:ascii="mylotus" w:hAnsi="mylotus"/>
          <w:sz w:val="34"/>
          <w:szCs w:val="34"/>
          <w:rtl/>
        </w:rPr>
        <w:t>- من الفعل</w:t>
      </w:r>
      <w:r w:rsidR="00FB5141">
        <w:rPr>
          <w:rFonts w:ascii="mylotus" w:hAnsi="mylotus"/>
          <w:sz w:val="34"/>
          <w:szCs w:val="34"/>
          <w:rtl/>
        </w:rPr>
        <w:t>.</w:t>
      </w:r>
    </w:p>
    <w:p w14:paraId="4B6A9185" w14:textId="77777777" w:rsidR="00FB5141" w:rsidRPr="00FB5141" w:rsidRDefault="008E4752" w:rsidP="00FB5141">
      <w:pPr>
        <w:pStyle w:val="a0"/>
        <w:bidi/>
        <w:spacing w:line="216" w:lineRule="auto"/>
        <w:rPr>
          <w:rFonts w:ascii="mylotus" w:hAnsi="mylotus" w:hint="cs"/>
          <w:b/>
          <w:bCs/>
          <w:sz w:val="34"/>
          <w:szCs w:val="34"/>
          <w:rtl/>
        </w:rPr>
      </w:pPr>
      <w:r w:rsidRPr="00FB5141">
        <w:rPr>
          <w:rFonts w:ascii="mylotus" w:hAnsi="mylotus"/>
          <w:b/>
          <w:bCs/>
          <w:sz w:val="34"/>
          <w:szCs w:val="34"/>
          <w:rtl/>
        </w:rPr>
        <w:t>وهذا المعنى الذي ذكره قدس سره يُلاحظ عليه:</w:t>
      </w:r>
    </w:p>
    <w:p w14:paraId="1A83CA96" w14:textId="074F911F" w:rsidR="008E4752" w:rsidRPr="008E4752" w:rsidRDefault="00FB5141" w:rsidP="00FB5141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  <w:r w:rsidRPr="00FB5141">
        <w:rPr>
          <w:rFonts w:ascii="mylotus" w:hAnsi="mylotus" w:hint="cs"/>
          <w:b/>
          <w:bCs/>
          <w:sz w:val="34"/>
          <w:szCs w:val="34"/>
          <w:rtl/>
        </w:rPr>
        <w:t>أولاً: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أنه بعيد عن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 xml:space="preserve">الوجدان العرفي </w:t>
      </w:r>
      <w:proofErr w:type="spellStart"/>
      <w:r w:rsidR="008E4752" w:rsidRPr="008E4752">
        <w:rPr>
          <w:rFonts w:ascii="mylotus" w:hAnsi="mylotus"/>
          <w:sz w:val="34"/>
          <w:szCs w:val="34"/>
          <w:rtl/>
        </w:rPr>
        <w:t>والعقلائي</w:t>
      </w:r>
      <w:proofErr w:type="spellEnd"/>
      <w:r>
        <w:rPr>
          <w:rFonts w:ascii="mylotus" w:hAnsi="mylotus"/>
          <w:sz w:val="34"/>
          <w:szCs w:val="34"/>
          <w:rtl/>
        </w:rPr>
        <w:t>.</w:t>
      </w:r>
    </w:p>
    <w:p w14:paraId="5A6A96C1" w14:textId="3D8C967B" w:rsidR="00FB5141" w:rsidRDefault="00FB5141" w:rsidP="008E4752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 w:rsidRPr="00FB5141">
        <w:rPr>
          <w:rFonts w:ascii="mylotus" w:hAnsi="mylotus"/>
          <w:b/>
          <w:bCs/>
          <w:sz w:val="34"/>
          <w:szCs w:val="34"/>
          <w:rtl/>
        </w:rPr>
        <w:t>وثانياً: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على مبنى السيد الخوئي في</w:t>
      </w:r>
      <w:r>
        <w:rPr>
          <w:rFonts w:ascii="mylotus" w:hAnsi="mylotus"/>
          <w:sz w:val="34"/>
          <w:szCs w:val="34"/>
          <w:rtl/>
        </w:rPr>
        <w:t xml:space="preserve"> الوضع، وهو كون الوضع من باب التعهد</w:t>
      </w:r>
      <w:r>
        <w:rPr>
          <w:rFonts w:ascii="mylotus" w:hAnsi="mylotus" w:hint="cs"/>
          <w:sz w:val="34"/>
          <w:szCs w:val="34"/>
          <w:rtl/>
        </w:rPr>
        <w:t>،</w:t>
      </w:r>
      <w:r w:rsidR="008E4752" w:rsidRPr="008E4752">
        <w:rPr>
          <w:rFonts w:ascii="mylotus" w:hAnsi="mylotus"/>
          <w:sz w:val="34"/>
          <w:szCs w:val="34"/>
          <w:rtl/>
        </w:rPr>
        <w:t xml:space="preserve"> الذي يعني أن المدلول الأول للوض</w:t>
      </w:r>
      <w:r>
        <w:rPr>
          <w:rFonts w:ascii="mylotus" w:hAnsi="mylotus"/>
          <w:sz w:val="34"/>
          <w:szCs w:val="34"/>
          <w:rtl/>
        </w:rPr>
        <w:t xml:space="preserve">ع مدلول تصديقي قد يتم ما أفاده </w:t>
      </w:r>
      <w:r w:rsidR="008E4752" w:rsidRPr="008E4752">
        <w:rPr>
          <w:rFonts w:ascii="mylotus" w:hAnsi="mylotus"/>
          <w:sz w:val="34"/>
          <w:szCs w:val="34"/>
          <w:rtl/>
        </w:rPr>
        <w:t>قد</w:t>
      </w:r>
      <w:r>
        <w:rPr>
          <w:rFonts w:ascii="mylotus" w:hAnsi="mylotus" w:hint="cs"/>
          <w:sz w:val="34"/>
          <w:szCs w:val="34"/>
          <w:rtl/>
        </w:rPr>
        <w:t>س سره</w:t>
      </w:r>
      <w:r>
        <w:rPr>
          <w:rFonts w:ascii="mylotus" w:hAnsi="mylotus"/>
          <w:sz w:val="34"/>
          <w:szCs w:val="34"/>
          <w:rtl/>
        </w:rPr>
        <w:t>،</w:t>
      </w:r>
      <w:r w:rsidR="008E4752" w:rsidRPr="008E4752">
        <w:rPr>
          <w:rFonts w:ascii="mylotus" w:hAnsi="mylotus"/>
          <w:sz w:val="34"/>
          <w:szCs w:val="34"/>
          <w:rtl/>
        </w:rPr>
        <w:t xml:space="preserve"> ولكن ذلك لا</w:t>
      </w:r>
      <w:r>
        <w:rPr>
          <w:rFonts w:ascii="mylotus" w:hAnsi="mylotus" w:hint="c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يمنع من التأمل في ما أفاده</w:t>
      </w:r>
      <w:r>
        <w:rPr>
          <w:rFonts w:ascii="mylotus" w:hAnsi="mylotus"/>
          <w:sz w:val="34"/>
          <w:szCs w:val="34"/>
          <w:rtl/>
        </w:rPr>
        <w:t>،</w:t>
      </w:r>
      <w:r w:rsidR="008E4752" w:rsidRPr="008E4752">
        <w:rPr>
          <w:rFonts w:ascii="mylotus" w:hAnsi="mylotus"/>
          <w:sz w:val="34"/>
          <w:szCs w:val="34"/>
          <w:rtl/>
        </w:rPr>
        <w:t xml:space="preserve"> بلحاظ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أن هناك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فرقا</w:t>
      </w:r>
      <w:r>
        <w:rPr>
          <w:rFonts w:ascii="mylotus" w:hAnsi="mylotus" w:hint="cs"/>
          <w:sz w:val="34"/>
          <w:szCs w:val="34"/>
          <w:rtl/>
        </w:rPr>
        <w:t>ً</w:t>
      </w:r>
      <w:r w:rsidR="008E4752" w:rsidRPr="008E4752">
        <w:rPr>
          <w:rFonts w:ascii="mylotus" w:hAnsi="mylotus"/>
          <w:sz w:val="34"/>
          <w:szCs w:val="34"/>
          <w:rtl/>
        </w:rPr>
        <w:t xml:space="preserve"> بين البحث عن المفهوم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التصديقي والمفهوم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 xml:space="preserve">التصوري، فربما يكون النهي بحسب المفهوم التصديقي هو اعتبار </w:t>
      </w:r>
      <w:proofErr w:type="spellStart"/>
      <w:r w:rsidR="008E4752" w:rsidRPr="008E4752">
        <w:rPr>
          <w:rFonts w:ascii="mylotus" w:hAnsi="mylotus"/>
          <w:sz w:val="34"/>
          <w:szCs w:val="34"/>
          <w:rtl/>
        </w:rPr>
        <w:t>المحرومية</w:t>
      </w:r>
      <w:proofErr w:type="spellEnd"/>
      <w:r w:rsidR="008E4752" w:rsidRPr="008E4752">
        <w:rPr>
          <w:rFonts w:ascii="mylotus" w:hAnsi="mylotus"/>
          <w:sz w:val="34"/>
          <w:szCs w:val="34"/>
          <w:rtl/>
        </w:rPr>
        <w:t xml:space="preserve">، كما لو صدر النهي من مقنن حكيم لأجل مفسدة لزومية، فإنه قد يكون بمعنى اعتبار </w:t>
      </w:r>
      <w:proofErr w:type="spellStart"/>
      <w:r w:rsidR="008E4752" w:rsidRPr="008E4752">
        <w:rPr>
          <w:rFonts w:ascii="mylotus" w:hAnsi="mylotus"/>
          <w:sz w:val="34"/>
          <w:szCs w:val="34"/>
          <w:rtl/>
        </w:rPr>
        <w:t>اعتبار</w:t>
      </w:r>
      <w:proofErr w:type="spellEnd"/>
      <w:r w:rsidR="008E4752" w:rsidRPr="008E4752">
        <w:rPr>
          <w:rFonts w:ascii="mylotus" w:hAnsi="mylotus"/>
          <w:sz w:val="34"/>
          <w:szCs w:val="34"/>
          <w:rtl/>
        </w:rPr>
        <w:t xml:space="preserve"> الحرمان (اعتبار </w:t>
      </w:r>
      <w:proofErr w:type="spellStart"/>
      <w:r w:rsidR="008E4752" w:rsidRPr="008E4752">
        <w:rPr>
          <w:rFonts w:ascii="mylotus" w:hAnsi="mylotus"/>
          <w:sz w:val="34"/>
          <w:szCs w:val="34"/>
          <w:rtl/>
        </w:rPr>
        <w:t>المحرومية</w:t>
      </w:r>
      <w:proofErr w:type="spellEnd"/>
      <w:r w:rsidR="008E4752" w:rsidRPr="008E4752">
        <w:rPr>
          <w:rFonts w:ascii="mylotus" w:hAnsi="mylotus"/>
          <w:sz w:val="34"/>
          <w:szCs w:val="34"/>
          <w:rtl/>
        </w:rPr>
        <w:t>) وهذا صحيح، إلا أن هذا مفهوم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تصدي</w:t>
      </w:r>
      <w:r>
        <w:rPr>
          <w:rFonts w:ascii="mylotus" w:hAnsi="mylotus"/>
          <w:sz w:val="34"/>
          <w:szCs w:val="34"/>
          <w:rtl/>
        </w:rPr>
        <w:t>قي للنهي مستند إلى عوامل خارجية</w:t>
      </w:r>
      <w:r>
        <w:rPr>
          <w:rFonts w:ascii="mylotus" w:hAnsi="mylotus" w:hint="cs"/>
          <w:sz w:val="34"/>
          <w:szCs w:val="34"/>
          <w:rtl/>
        </w:rPr>
        <w:t>.</w:t>
      </w:r>
      <w:r>
        <w:rPr>
          <w:rFonts w:ascii="mylotus" w:hAnsi="mylotus"/>
          <w:sz w:val="34"/>
          <w:szCs w:val="34"/>
          <w:rtl/>
        </w:rPr>
        <w:t xml:space="preserve"> وأما لو قطعنا النظر عن كل ذلك</w:t>
      </w:r>
      <w:r w:rsidR="008E4752" w:rsidRPr="008E4752">
        <w:rPr>
          <w:rFonts w:ascii="mylotus" w:hAnsi="mylotus"/>
          <w:sz w:val="34"/>
          <w:szCs w:val="34"/>
          <w:rtl/>
        </w:rPr>
        <w:t xml:space="preserve"> فإن ورود عنوان</w:t>
      </w:r>
      <w:r>
        <w:rPr>
          <w:rFonts w:ascii="mylotus" w:hAnsi="mylotus"/>
          <w:sz w:val="34"/>
          <w:szCs w:val="34"/>
          <w:rtl/>
        </w:rPr>
        <w:t xml:space="preserve"> </w:t>
      </w:r>
      <w:r w:rsidR="008E4752" w:rsidRPr="008E4752">
        <w:rPr>
          <w:rFonts w:ascii="mylotus" w:hAnsi="mylotus"/>
          <w:sz w:val="34"/>
          <w:szCs w:val="34"/>
          <w:rtl/>
        </w:rPr>
        <w:t>النهي في ش</w:t>
      </w:r>
      <w:r>
        <w:rPr>
          <w:rFonts w:ascii="mylotus" w:hAnsi="mylotus"/>
          <w:sz w:val="34"/>
          <w:szCs w:val="34"/>
          <w:rtl/>
        </w:rPr>
        <w:t xml:space="preserve">عر أو نثر أو خبر </w:t>
      </w:r>
      <w:r>
        <w:rPr>
          <w:rFonts w:ascii="mylotus" w:hAnsi="mylotus" w:hint="cs"/>
          <w:sz w:val="34"/>
          <w:szCs w:val="34"/>
          <w:rtl/>
        </w:rPr>
        <w:t>أ</w:t>
      </w:r>
      <w:r w:rsidR="008E4752" w:rsidRPr="008E4752">
        <w:rPr>
          <w:rFonts w:ascii="mylotus" w:hAnsi="mylotus"/>
          <w:sz w:val="34"/>
          <w:szCs w:val="34"/>
          <w:rtl/>
        </w:rPr>
        <w:t>و بما يرادف كلمة النهي عند العرب في ال</w:t>
      </w:r>
      <w:r>
        <w:rPr>
          <w:rFonts w:ascii="mylotus" w:hAnsi="mylotus"/>
          <w:sz w:val="34"/>
          <w:szCs w:val="34"/>
          <w:rtl/>
        </w:rPr>
        <w:t xml:space="preserve">لغات الأخرى فإنه لا </w:t>
      </w:r>
      <w:proofErr w:type="spellStart"/>
      <w:r>
        <w:rPr>
          <w:rFonts w:ascii="mylotus" w:hAnsi="mylotus"/>
          <w:sz w:val="34"/>
          <w:szCs w:val="34"/>
          <w:rtl/>
        </w:rPr>
        <w:t>ينسبق</w:t>
      </w:r>
      <w:proofErr w:type="spellEnd"/>
      <w:r>
        <w:rPr>
          <w:rFonts w:ascii="mylotus" w:hAnsi="mylotus"/>
          <w:sz w:val="34"/>
          <w:szCs w:val="34"/>
          <w:rtl/>
        </w:rPr>
        <w:t xml:space="preserve"> من ذلك</w:t>
      </w:r>
      <w:r w:rsidR="008E4752" w:rsidRPr="008E4752">
        <w:rPr>
          <w:rFonts w:ascii="mylotus" w:hAnsi="mylotus"/>
          <w:sz w:val="34"/>
          <w:szCs w:val="34"/>
          <w:rtl/>
        </w:rPr>
        <w:t xml:space="preserve"> إبراز اعتبار</w:t>
      </w:r>
      <w:r>
        <w:rPr>
          <w:rFonts w:ascii="mylotus" w:hAnsi="mylotus"/>
          <w:sz w:val="34"/>
          <w:szCs w:val="34"/>
          <w:rtl/>
        </w:rPr>
        <w:t xml:space="preserve"> </w:t>
      </w:r>
      <w:proofErr w:type="spellStart"/>
      <w:r w:rsidR="008E4752" w:rsidRPr="008E4752">
        <w:rPr>
          <w:rFonts w:ascii="mylotus" w:hAnsi="mylotus"/>
          <w:sz w:val="34"/>
          <w:szCs w:val="34"/>
          <w:rtl/>
        </w:rPr>
        <w:t>ا</w:t>
      </w:r>
      <w:r>
        <w:rPr>
          <w:rFonts w:ascii="mylotus" w:hAnsi="mylotus"/>
          <w:sz w:val="34"/>
          <w:szCs w:val="34"/>
          <w:rtl/>
        </w:rPr>
        <w:t>لمحرومية</w:t>
      </w:r>
      <w:proofErr w:type="spellEnd"/>
      <w:r>
        <w:rPr>
          <w:rFonts w:ascii="mylotus" w:hAnsi="mylotus"/>
          <w:sz w:val="34"/>
          <w:szCs w:val="34"/>
          <w:rtl/>
        </w:rPr>
        <w:t xml:space="preserve"> عن الفعل على تلك الذمة</w:t>
      </w:r>
      <w:r w:rsidR="008E4752" w:rsidRPr="008E4752">
        <w:rPr>
          <w:rFonts w:ascii="mylotus" w:hAnsi="mylotus"/>
          <w:sz w:val="34"/>
          <w:szCs w:val="34"/>
          <w:rtl/>
        </w:rPr>
        <w:t>، لمناسبة هذا التحديد لما يكون مصداقا</w:t>
      </w:r>
      <w:r>
        <w:rPr>
          <w:rFonts w:ascii="mylotus" w:hAnsi="mylotus" w:hint="cs"/>
          <w:sz w:val="34"/>
          <w:szCs w:val="34"/>
          <w:rtl/>
        </w:rPr>
        <w:t>ً</w:t>
      </w:r>
      <w:r w:rsidR="008E4752" w:rsidRPr="008E4752">
        <w:rPr>
          <w:rFonts w:ascii="mylotus" w:hAnsi="mylotus"/>
          <w:sz w:val="34"/>
          <w:szCs w:val="34"/>
          <w:rtl/>
        </w:rPr>
        <w:t xml:space="preserve"> للنهي بالحمل الشائع</w:t>
      </w:r>
      <w:r>
        <w:rPr>
          <w:rFonts w:ascii="mylotus" w:hAnsi="mylotus" w:hint="cs"/>
          <w:sz w:val="34"/>
          <w:szCs w:val="34"/>
          <w:rtl/>
        </w:rPr>
        <w:t>،</w:t>
      </w:r>
      <w:r w:rsidR="008E4752" w:rsidRPr="008E4752">
        <w:rPr>
          <w:rFonts w:ascii="mylotus" w:hAnsi="mylotus"/>
          <w:sz w:val="34"/>
          <w:szCs w:val="34"/>
          <w:rtl/>
        </w:rPr>
        <w:t xml:space="preserve"> لا لما يكون تحليلا</w:t>
      </w:r>
      <w:r>
        <w:rPr>
          <w:rFonts w:ascii="mylotus" w:hAnsi="mylotus" w:hint="cs"/>
          <w:sz w:val="34"/>
          <w:szCs w:val="34"/>
          <w:rtl/>
        </w:rPr>
        <w:t>ً</w:t>
      </w:r>
      <w:r>
        <w:rPr>
          <w:rFonts w:ascii="mylotus" w:hAnsi="mylotus"/>
          <w:sz w:val="34"/>
          <w:szCs w:val="34"/>
          <w:rtl/>
        </w:rPr>
        <w:t xml:space="preserve"> للمفهوم في حد ذاته.</w:t>
      </w:r>
    </w:p>
    <w:p w14:paraId="139EF0B9" w14:textId="5FBB0FD2" w:rsidR="00B644E2" w:rsidRDefault="008E4752" w:rsidP="00FB5141">
      <w:pPr>
        <w:pStyle w:val="a0"/>
        <w:bidi/>
        <w:spacing w:line="216" w:lineRule="auto"/>
        <w:rPr>
          <w:rFonts w:ascii="mylotus" w:hAnsi="mylotus" w:hint="cs"/>
          <w:sz w:val="34"/>
          <w:szCs w:val="34"/>
          <w:rtl/>
        </w:rPr>
      </w:pPr>
      <w:r w:rsidRPr="008E4752">
        <w:rPr>
          <w:rFonts w:ascii="mylotus" w:hAnsi="mylotus"/>
          <w:sz w:val="34"/>
          <w:szCs w:val="34"/>
          <w:rtl/>
        </w:rPr>
        <w:t xml:space="preserve">فكل هذه </w:t>
      </w:r>
      <w:proofErr w:type="spellStart"/>
      <w:r w:rsidRPr="008E4752">
        <w:rPr>
          <w:rFonts w:ascii="mylotus" w:hAnsi="mylotus"/>
          <w:sz w:val="34"/>
          <w:szCs w:val="34"/>
          <w:rtl/>
        </w:rPr>
        <w:t>تحميلات</w:t>
      </w:r>
      <w:proofErr w:type="spellEnd"/>
      <w:r w:rsidRPr="008E4752">
        <w:rPr>
          <w:rFonts w:ascii="mylotus" w:hAnsi="mylotus"/>
          <w:sz w:val="34"/>
          <w:szCs w:val="34"/>
          <w:rtl/>
        </w:rPr>
        <w:t xml:space="preserve"> للمفهوم العرفي للنهي</w:t>
      </w:r>
      <w:r w:rsidR="00FB5141">
        <w:rPr>
          <w:rFonts w:ascii="mylotus" w:hAnsi="mylotus"/>
          <w:sz w:val="34"/>
          <w:szCs w:val="34"/>
          <w:rtl/>
        </w:rPr>
        <w:t xml:space="preserve"> </w:t>
      </w:r>
      <w:r w:rsidRPr="008E4752">
        <w:rPr>
          <w:rFonts w:ascii="mylotus" w:hAnsi="mylotus"/>
          <w:sz w:val="34"/>
          <w:szCs w:val="34"/>
          <w:rtl/>
        </w:rPr>
        <w:t>دون شاهد عليها.</w:t>
      </w:r>
    </w:p>
    <w:p w14:paraId="042324AF" w14:textId="77777777" w:rsidR="008E4752" w:rsidRDefault="008E4752" w:rsidP="008E4752">
      <w:pPr>
        <w:pStyle w:val="a0"/>
        <w:bidi/>
        <w:spacing w:line="216" w:lineRule="auto"/>
        <w:rPr>
          <w:rFonts w:ascii="mylotus" w:hAnsi="mylotus"/>
          <w:sz w:val="34"/>
          <w:szCs w:val="34"/>
          <w:rtl/>
        </w:rPr>
      </w:pPr>
    </w:p>
    <w:p w14:paraId="2D24CFF0" w14:textId="332332FF" w:rsidR="001F034F" w:rsidRPr="005F7776" w:rsidRDefault="00E706A4" w:rsidP="00700C70">
      <w:pPr>
        <w:pStyle w:val="a0"/>
        <w:bidi/>
        <w:spacing w:line="216" w:lineRule="auto"/>
        <w:jc w:val="center"/>
        <w:rPr>
          <w:rFonts w:ascii="mylotus" w:hAnsi="mylotus"/>
          <w:b/>
          <w:bCs/>
          <w:sz w:val="34"/>
          <w:szCs w:val="34"/>
        </w:rPr>
      </w:pPr>
      <w:r w:rsidRPr="005F7776">
        <w:rPr>
          <w:rFonts w:ascii="mylotus" w:hAnsi="mylotus"/>
          <w:b/>
          <w:bCs/>
          <w:sz w:val="34"/>
          <w:szCs w:val="34"/>
          <w:rtl/>
        </w:rPr>
        <w:t>والحمد لله رب العالمين</w:t>
      </w:r>
      <w:r w:rsidR="002339F1" w:rsidRPr="005F7776">
        <w:rPr>
          <w:rFonts w:ascii="mylotus" w:hAnsi="mylotus"/>
          <w:b/>
          <w:bCs/>
          <w:sz w:val="34"/>
          <w:szCs w:val="34"/>
          <w:rtl/>
        </w:rPr>
        <w:t xml:space="preserve"> </w:t>
      </w:r>
    </w:p>
    <w:sectPr w:rsidR="001F034F" w:rsidRPr="005F7776" w:rsidSect="006C6C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2" w:right="1077" w:bottom="851" w:left="1077" w:header="425" w:footer="340" w:gutter="0"/>
      <w:cols w:space="708"/>
      <w:bidi/>
      <w:rtlGutter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A1415" w14:textId="77777777" w:rsidR="00C105D9" w:rsidRDefault="00C105D9" w:rsidP="00A5027D">
      <w:pPr>
        <w:spacing w:line="240" w:lineRule="auto"/>
      </w:pPr>
      <w:r>
        <w:separator/>
      </w:r>
    </w:p>
  </w:endnote>
  <w:endnote w:type="continuationSeparator" w:id="0">
    <w:p w14:paraId="1F184BB2" w14:textId="77777777" w:rsidR="00C105D9" w:rsidRDefault="00C105D9" w:rsidP="00A502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mohsin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604933" w14:textId="77777777" w:rsidR="00512A98" w:rsidRDefault="00512A9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0000"/>
        <w:sz w:val="24"/>
        <w:szCs w:val="24"/>
        <w:rtl/>
      </w:rPr>
      <w:id w:val="1007181803"/>
      <w:docPartObj>
        <w:docPartGallery w:val="Page Numbers (Bottom of Page)"/>
        <w:docPartUnique/>
      </w:docPartObj>
    </w:sdtPr>
    <w:sdtEndPr/>
    <w:sdtContent>
      <w:p w14:paraId="5CB150A1" w14:textId="77777777" w:rsidR="00B07F43" w:rsidRDefault="00B07F43" w:rsidP="007A1A5D">
        <w:pPr>
          <w:pStyle w:val="aa"/>
          <w:jc w:val="center"/>
        </w:pP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begin"/>
        </w:r>
        <w:r w:rsidRPr="00A1068D">
          <w:rPr>
            <w:rFonts w:ascii="mylotus" w:hAnsi="mylotus" w:cs="mylotus"/>
            <w:color w:val="FF0000"/>
            <w:sz w:val="24"/>
            <w:szCs w:val="24"/>
          </w:rPr>
          <w:instrText>PAGE   \* MERGEFORMAT</w:instrTex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separate"/>
        </w:r>
        <w:r w:rsidR="00512A98" w:rsidRPr="00512A98">
          <w:rPr>
            <w:rFonts w:ascii="mylotus" w:hAnsi="mylotus" w:cs="mylotus"/>
            <w:noProof/>
            <w:color w:val="FF0000"/>
            <w:sz w:val="24"/>
            <w:szCs w:val="24"/>
            <w:rtl/>
            <w:lang w:val="ar-SA"/>
          </w:rPr>
          <w:t>4</w:t>
        </w:r>
        <w:r w:rsidRPr="00A1068D">
          <w:rPr>
            <w:rFonts w:ascii="mylotus" w:hAnsi="mylotus" w:cs="mylotus"/>
            <w:color w:val="FF0000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4E1C7" w14:textId="77777777" w:rsidR="00512A98" w:rsidRDefault="00512A9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B9CCE" w14:textId="77777777" w:rsidR="00C105D9" w:rsidRDefault="00C105D9" w:rsidP="00A5027D">
      <w:pPr>
        <w:spacing w:line="240" w:lineRule="auto"/>
      </w:pPr>
      <w:r>
        <w:separator/>
      </w:r>
    </w:p>
  </w:footnote>
  <w:footnote w:type="continuationSeparator" w:id="0">
    <w:p w14:paraId="18FD6865" w14:textId="77777777" w:rsidR="00C105D9" w:rsidRDefault="00C105D9" w:rsidP="00A502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C29C7" w14:textId="77777777" w:rsidR="00512A98" w:rsidRDefault="00512A9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C0897" w14:textId="374698A3" w:rsidR="00B07F43" w:rsidRPr="005F7776" w:rsidRDefault="00B07F43" w:rsidP="00706A58">
    <w:pPr>
      <w:pStyle w:val="a9"/>
      <w:tabs>
        <w:tab w:val="left" w:pos="4961"/>
      </w:tabs>
      <w:rPr>
        <w:rFonts w:ascii="mylotus" w:hAnsi="mylotus" w:cs="mylotus"/>
        <w:sz w:val="26"/>
        <w:szCs w:val="26"/>
        <w:lang w:val="en-US"/>
      </w:rPr>
    </w:pPr>
    <w:r w:rsidRPr="005F7776">
      <w:rPr>
        <w:rFonts w:ascii="mylotus" w:hAnsi="mylotus" w:cs="mylotus"/>
        <w:noProof/>
        <w:color w:val="FF0000"/>
        <w:sz w:val="26"/>
        <w:szCs w:val="26"/>
        <w:rtl/>
        <w:lang w:val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687E498" wp14:editId="465959DC">
              <wp:simplePos x="0" y="0"/>
              <wp:positionH relativeFrom="margin">
                <wp:posOffset>-1905</wp:posOffset>
              </wp:positionH>
              <wp:positionV relativeFrom="paragraph">
                <wp:posOffset>336178</wp:posOffset>
              </wp:positionV>
              <wp:extent cx="6191885" cy="0"/>
              <wp:effectExtent l="0" t="0" r="18415" b="19050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918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6EFCDFE0" id="رابط مستقيم 1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26.45pt" to="487.4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" strokecolor="#4579b8 [3044]">
              <w10:wrap anchorx="margin"/>
            </v:line>
          </w:pict>
        </mc:Fallback>
      </mc:AlternateContent>
    </w:r>
    <w:r w:rsidR="00B71632">
      <w:rPr>
        <w:rFonts w:ascii="mylotus" w:hAnsi="mylotus" w:cs="mylotus"/>
        <w:color w:val="FF0000"/>
        <w:sz w:val="26"/>
        <w:szCs w:val="26"/>
        <w:rtl/>
      </w:rPr>
      <w:t>بحث ال</w:t>
    </w:r>
    <w:r w:rsidR="00B71632">
      <w:rPr>
        <w:rFonts w:ascii="mylotus" w:hAnsi="mylotus" w:cs="mylotus" w:hint="cs"/>
        <w:color w:val="FF0000"/>
        <w:sz w:val="26"/>
        <w:szCs w:val="26"/>
        <w:rtl/>
      </w:rPr>
      <w:t>أصول</w:t>
    </w:r>
    <w:r w:rsidR="00B71632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B71632">
      <w:rPr>
        <w:rFonts w:ascii="mylotus" w:hAnsi="mylotus" w:cs="mylotus" w:hint="cs"/>
        <w:color w:val="FF0000"/>
        <w:sz w:val="26"/>
        <w:szCs w:val="26"/>
        <w:rtl/>
        <w:lang w:bidi="ar-IQ"/>
      </w:rPr>
      <w:t>-</w:t>
    </w:r>
    <w:r w:rsidR="00B71632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A72F7E">
      <w:rPr>
        <w:rFonts w:ascii="mylotus" w:hAnsi="mylotus" w:cs="mylotus" w:hint="cs"/>
        <w:color w:val="FF0000"/>
        <w:sz w:val="26"/>
        <w:szCs w:val="26"/>
        <w:rtl/>
      </w:rPr>
      <w:t>مبحث النواهي</w:t>
    </w:r>
    <w:r w:rsidRPr="005F7776">
      <w:rPr>
        <w:rFonts w:ascii="mylotus" w:hAnsi="mylotus" w:cs="mylotus"/>
        <w:color w:val="FF0000"/>
        <w:sz w:val="26"/>
        <w:szCs w:val="26"/>
        <w:rtl/>
      </w:rPr>
      <w:t xml:space="preserve"> (</w:t>
    </w:r>
    <w:r w:rsidR="00706A58">
      <w:rPr>
        <w:rFonts w:ascii="mylotus" w:hAnsi="mylotus" w:cs="mylotus" w:hint="cs"/>
        <w:color w:val="FF0000"/>
        <w:sz w:val="26"/>
        <w:szCs w:val="26"/>
        <w:rtl/>
      </w:rPr>
      <w:t>1</w:t>
    </w:r>
    <w:r w:rsidRPr="005F7776">
      <w:rPr>
        <w:rFonts w:ascii="mylotus" w:hAnsi="mylotus" w:cs="mylotus"/>
        <w:color w:val="FF0000"/>
        <w:sz w:val="26"/>
        <w:szCs w:val="26"/>
        <w:rtl/>
      </w:rPr>
      <w:t>)</w:t>
    </w:r>
    <w:r w:rsidR="00524E83" w:rsidRPr="005F7776">
      <w:rPr>
        <w:rFonts w:ascii="mylotus" w:hAnsi="mylotus" w:cs="mylotus"/>
        <w:color w:val="FF0000"/>
        <w:sz w:val="26"/>
        <w:szCs w:val="26"/>
        <w:rtl/>
      </w:rPr>
      <w:t xml:space="preserve"> - </w:t>
    </w:r>
    <w:r w:rsidR="002339F1" w:rsidRPr="005F7776">
      <w:rPr>
        <w:rFonts w:ascii="mylotus" w:hAnsi="mylotus" w:cs="mylotus"/>
        <w:color w:val="FF0000"/>
        <w:sz w:val="26"/>
        <w:szCs w:val="26"/>
        <w:rtl/>
      </w:rPr>
      <w:t>ال</w:t>
    </w:r>
    <w:r w:rsidR="00706A58">
      <w:rPr>
        <w:rFonts w:ascii="mylotus" w:hAnsi="mylotus" w:cs="mylotus" w:hint="cs"/>
        <w:color w:val="FF0000"/>
        <w:sz w:val="26"/>
        <w:szCs w:val="26"/>
        <w:rtl/>
      </w:rPr>
      <w:t>سبت</w:t>
    </w:r>
    <w:r w:rsidRPr="005F7776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706A58">
      <w:rPr>
        <w:rFonts w:ascii="mylotus" w:hAnsi="mylotus" w:cs="mylotus" w:hint="cs"/>
        <w:color w:val="FF0000"/>
        <w:sz w:val="26"/>
        <w:szCs w:val="26"/>
        <w:rtl/>
      </w:rPr>
      <w:t>29</w:t>
    </w:r>
    <w:r w:rsidR="008469EC">
      <w:rPr>
        <w:rFonts w:ascii="mylotus" w:hAnsi="mylotus" w:cs="mylotus"/>
        <w:color w:val="FF0000"/>
        <w:sz w:val="26"/>
        <w:szCs w:val="26"/>
        <w:rtl/>
      </w:rPr>
      <w:t xml:space="preserve"> </w:t>
    </w:r>
    <w:r w:rsidR="0089362A">
      <w:rPr>
        <w:rFonts w:ascii="mylotus" w:hAnsi="mylotus" w:cs="mylotus" w:hint="cs"/>
        <w:color w:val="FF0000"/>
        <w:sz w:val="26"/>
        <w:szCs w:val="26"/>
        <w:rtl/>
      </w:rPr>
      <w:t>ربيع الأول</w:t>
    </w:r>
    <w:r w:rsidR="002D4AF5">
      <w:rPr>
        <w:rFonts w:ascii="mylotus" w:hAnsi="mylotus" w:cs="mylotus" w:hint="cs"/>
        <w:color w:val="FF0000"/>
        <w:sz w:val="26"/>
        <w:szCs w:val="26"/>
        <w:rtl/>
      </w:rPr>
      <w:t xml:space="preserve"> </w:t>
    </w:r>
    <w:r w:rsidR="00E616B8">
      <w:rPr>
        <w:rFonts w:ascii="mylotus" w:hAnsi="mylotus" w:cs="mylotus" w:hint="cs"/>
        <w:color w:val="FF0000"/>
        <w:sz w:val="26"/>
        <w:szCs w:val="26"/>
        <w:rtl/>
      </w:rPr>
      <w:t>144</w:t>
    </w:r>
    <w:r w:rsidR="0089362A">
      <w:rPr>
        <w:rFonts w:ascii="mylotus" w:hAnsi="mylotus" w:cs="mylotus" w:hint="cs"/>
        <w:color w:val="FF0000"/>
        <w:sz w:val="26"/>
        <w:szCs w:val="26"/>
        <w:rtl/>
      </w:rPr>
      <w:t>8</w:t>
    </w:r>
    <w:r w:rsidRPr="005F7776">
      <w:rPr>
        <w:rFonts w:ascii="mylotus" w:hAnsi="mylotus" w:cs="mylotus"/>
        <w:color w:val="FF0000"/>
        <w:sz w:val="26"/>
        <w:szCs w:val="26"/>
        <w:rtl/>
      </w:rPr>
      <w:t>هـ</w:t>
    </w:r>
    <w:r w:rsidR="00FB5141">
      <w:rPr>
        <w:rFonts w:ascii="mylotus" w:hAnsi="mylotus" w:cs="mylotus" w:hint="cs"/>
        <w:color w:val="FF0000"/>
        <w:sz w:val="26"/>
        <w:szCs w:val="26"/>
        <w:rtl/>
      </w:rPr>
      <w:t xml:space="preserve"> </w:t>
    </w:r>
    <w:r w:rsidR="00512A98">
      <w:rPr>
        <w:rFonts w:ascii="mylotus" w:hAnsi="mylotus" w:cs="mylotus" w:hint="cs"/>
        <w:color w:val="FF0000"/>
        <w:sz w:val="26"/>
        <w:szCs w:val="26"/>
        <w:rtl/>
      </w:rPr>
      <w:t xml:space="preserve">                                                        </w:t>
    </w:r>
    <w:bookmarkStart w:id="0" w:name="_GoBack"/>
    <w:bookmarkEnd w:id="0"/>
    <w:r w:rsidRPr="005F7776">
      <w:rPr>
        <w:rFonts w:ascii="mylotus" w:hAnsi="mylotus" w:cs="mylotus"/>
        <w:color w:val="FF0000"/>
        <w:sz w:val="26"/>
        <w:szCs w:val="26"/>
        <w:rtl/>
        <w:lang w:val="en-US"/>
      </w:rPr>
      <w:t>الأستاذ السيد منير الخباز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61297" w14:textId="77777777" w:rsidR="00512A98" w:rsidRDefault="00512A9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15606"/>
    <w:multiLevelType w:val="hybridMultilevel"/>
    <w:tmpl w:val="B8F2B03E"/>
    <w:lvl w:ilvl="0" w:tplc="DB3AD262">
      <w:numFmt w:val="bullet"/>
      <w:lvlText w:val=""/>
      <w:lvlJc w:val="left"/>
      <w:pPr>
        <w:ind w:left="757" w:hanging="360"/>
      </w:pPr>
      <w:rPr>
        <w:rFonts w:ascii="Symbol" w:eastAsia="Times New Roman" w:hAnsi="Symbol" w:cs="mylotus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7D"/>
    <w:rsid w:val="0000034D"/>
    <w:rsid w:val="00012B79"/>
    <w:rsid w:val="00014663"/>
    <w:rsid w:val="00014E51"/>
    <w:rsid w:val="0003362C"/>
    <w:rsid w:val="00054F91"/>
    <w:rsid w:val="000634C0"/>
    <w:rsid w:val="00075B8F"/>
    <w:rsid w:val="00085C01"/>
    <w:rsid w:val="000868A0"/>
    <w:rsid w:val="000C2631"/>
    <w:rsid w:val="000F2D22"/>
    <w:rsid w:val="00102391"/>
    <w:rsid w:val="00104288"/>
    <w:rsid w:val="00111AE8"/>
    <w:rsid w:val="00116171"/>
    <w:rsid w:val="00126819"/>
    <w:rsid w:val="001700E2"/>
    <w:rsid w:val="0018506F"/>
    <w:rsid w:val="00190CDF"/>
    <w:rsid w:val="001B36AE"/>
    <w:rsid w:val="001B7AAB"/>
    <w:rsid w:val="001D2C21"/>
    <w:rsid w:val="001D40F0"/>
    <w:rsid w:val="001F034F"/>
    <w:rsid w:val="001F6237"/>
    <w:rsid w:val="00205E46"/>
    <w:rsid w:val="002220AA"/>
    <w:rsid w:val="00225C1C"/>
    <w:rsid w:val="002339F1"/>
    <w:rsid w:val="002438AD"/>
    <w:rsid w:val="0024499D"/>
    <w:rsid w:val="002530E6"/>
    <w:rsid w:val="00257474"/>
    <w:rsid w:val="00294D72"/>
    <w:rsid w:val="002951F9"/>
    <w:rsid w:val="002A79FA"/>
    <w:rsid w:val="002B4E62"/>
    <w:rsid w:val="002C3704"/>
    <w:rsid w:val="002D0D9E"/>
    <w:rsid w:val="002D2D63"/>
    <w:rsid w:val="002D4AF5"/>
    <w:rsid w:val="002F1501"/>
    <w:rsid w:val="00316628"/>
    <w:rsid w:val="003228E8"/>
    <w:rsid w:val="00331615"/>
    <w:rsid w:val="00341791"/>
    <w:rsid w:val="0035443E"/>
    <w:rsid w:val="0035715B"/>
    <w:rsid w:val="003A0D7F"/>
    <w:rsid w:val="003A4C77"/>
    <w:rsid w:val="003C27B3"/>
    <w:rsid w:val="003C5C22"/>
    <w:rsid w:val="003E28FC"/>
    <w:rsid w:val="003F635C"/>
    <w:rsid w:val="00402155"/>
    <w:rsid w:val="00416FF8"/>
    <w:rsid w:val="00417B1F"/>
    <w:rsid w:val="00426274"/>
    <w:rsid w:val="00434EF0"/>
    <w:rsid w:val="004417B4"/>
    <w:rsid w:val="00444116"/>
    <w:rsid w:val="00463804"/>
    <w:rsid w:val="004713E0"/>
    <w:rsid w:val="00487DED"/>
    <w:rsid w:val="004B03A0"/>
    <w:rsid w:val="004B14A5"/>
    <w:rsid w:val="004B76A6"/>
    <w:rsid w:val="004C2054"/>
    <w:rsid w:val="004D6F7D"/>
    <w:rsid w:val="0050790C"/>
    <w:rsid w:val="00512A98"/>
    <w:rsid w:val="0051676D"/>
    <w:rsid w:val="00524E83"/>
    <w:rsid w:val="005365F6"/>
    <w:rsid w:val="00560065"/>
    <w:rsid w:val="00560F51"/>
    <w:rsid w:val="0058437E"/>
    <w:rsid w:val="00591778"/>
    <w:rsid w:val="00595632"/>
    <w:rsid w:val="005A573C"/>
    <w:rsid w:val="005D1880"/>
    <w:rsid w:val="005D3B52"/>
    <w:rsid w:val="005F0F6F"/>
    <w:rsid w:val="005F70FF"/>
    <w:rsid w:val="005F7776"/>
    <w:rsid w:val="0060278A"/>
    <w:rsid w:val="00612084"/>
    <w:rsid w:val="006254BE"/>
    <w:rsid w:val="006333B1"/>
    <w:rsid w:val="00637DBE"/>
    <w:rsid w:val="00646A5D"/>
    <w:rsid w:val="00652CA2"/>
    <w:rsid w:val="0067710E"/>
    <w:rsid w:val="00683B86"/>
    <w:rsid w:val="00694C4A"/>
    <w:rsid w:val="00696BDC"/>
    <w:rsid w:val="006A3CD3"/>
    <w:rsid w:val="006C341E"/>
    <w:rsid w:val="006C6C7F"/>
    <w:rsid w:val="006D031B"/>
    <w:rsid w:val="006D0642"/>
    <w:rsid w:val="006D6E7E"/>
    <w:rsid w:val="006E1B18"/>
    <w:rsid w:val="006F6650"/>
    <w:rsid w:val="00700C70"/>
    <w:rsid w:val="00701077"/>
    <w:rsid w:val="00701E4F"/>
    <w:rsid w:val="00706A58"/>
    <w:rsid w:val="007237A9"/>
    <w:rsid w:val="007310D4"/>
    <w:rsid w:val="00732DB7"/>
    <w:rsid w:val="00740CF8"/>
    <w:rsid w:val="00753B14"/>
    <w:rsid w:val="0076539C"/>
    <w:rsid w:val="00776E98"/>
    <w:rsid w:val="00781258"/>
    <w:rsid w:val="00790D4D"/>
    <w:rsid w:val="00791C2B"/>
    <w:rsid w:val="007926E8"/>
    <w:rsid w:val="007A1A5D"/>
    <w:rsid w:val="007A59E2"/>
    <w:rsid w:val="007B25DF"/>
    <w:rsid w:val="007B2E20"/>
    <w:rsid w:val="007B4332"/>
    <w:rsid w:val="007C2601"/>
    <w:rsid w:val="007D0826"/>
    <w:rsid w:val="007D2646"/>
    <w:rsid w:val="007D2DF4"/>
    <w:rsid w:val="007D3C58"/>
    <w:rsid w:val="007D6129"/>
    <w:rsid w:val="007E4A75"/>
    <w:rsid w:val="007F2A1F"/>
    <w:rsid w:val="00836BC1"/>
    <w:rsid w:val="008469EC"/>
    <w:rsid w:val="00850894"/>
    <w:rsid w:val="00852165"/>
    <w:rsid w:val="00861F42"/>
    <w:rsid w:val="00886478"/>
    <w:rsid w:val="0089362A"/>
    <w:rsid w:val="00895528"/>
    <w:rsid w:val="008A7669"/>
    <w:rsid w:val="008B2BF2"/>
    <w:rsid w:val="008B5A1B"/>
    <w:rsid w:val="008B6C9C"/>
    <w:rsid w:val="008C18BC"/>
    <w:rsid w:val="008C59F7"/>
    <w:rsid w:val="008D0522"/>
    <w:rsid w:val="008D1AF3"/>
    <w:rsid w:val="008D2DBE"/>
    <w:rsid w:val="008E10C9"/>
    <w:rsid w:val="008E4752"/>
    <w:rsid w:val="009076DD"/>
    <w:rsid w:val="009153E5"/>
    <w:rsid w:val="00916630"/>
    <w:rsid w:val="00946D46"/>
    <w:rsid w:val="00950CF6"/>
    <w:rsid w:val="00952DCA"/>
    <w:rsid w:val="0095312D"/>
    <w:rsid w:val="00963C62"/>
    <w:rsid w:val="00964B73"/>
    <w:rsid w:val="0096623A"/>
    <w:rsid w:val="0097647D"/>
    <w:rsid w:val="0098687C"/>
    <w:rsid w:val="00991053"/>
    <w:rsid w:val="00994D9F"/>
    <w:rsid w:val="009954B5"/>
    <w:rsid w:val="009B1550"/>
    <w:rsid w:val="009C701E"/>
    <w:rsid w:val="009D7D48"/>
    <w:rsid w:val="009E5EBF"/>
    <w:rsid w:val="009E651D"/>
    <w:rsid w:val="009F4BE3"/>
    <w:rsid w:val="00A04BE3"/>
    <w:rsid w:val="00A0527F"/>
    <w:rsid w:val="00A06115"/>
    <w:rsid w:val="00A1068D"/>
    <w:rsid w:val="00A162A4"/>
    <w:rsid w:val="00A43232"/>
    <w:rsid w:val="00A45D65"/>
    <w:rsid w:val="00A5027D"/>
    <w:rsid w:val="00A53FEA"/>
    <w:rsid w:val="00A63606"/>
    <w:rsid w:val="00A66546"/>
    <w:rsid w:val="00A72F7E"/>
    <w:rsid w:val="00A82687"/>
    <w:rsid w:val="00A92C34"/>
    <w:rsid w:val="00A932D7"/>
    <w:rsid w:val="00AB0BF9"/>
    <w:rsid w:val="00AB2506"/>
    <w:rsid w:val="00AB4593"/>
    <w:rsid w:val="00AC0335"/>
    <w:rsid w:val="00AC2737"/>
    <w:rsid w:val="00AD187B"/>
    <w:rsid w:val="00AF658D"/>
    <w:rsid w:val="00B05107"/>
    <w:rsid w:val="00B05627"/>
    <w:rsid w:val="00B07F43"/>
    <w:rsid w:val="00B148FC"/>
    <w:rsid w:val="00B15C12"/>
    <w:rsid w:val="00B24C0B"/>
    <w:rsid w:val="00B27FD9"/>
    <w:rsid w:val="00B42E19"/>
    <w:rsid w:val="00B4551F"/>
    <w:rsid w:val="00B644E2"/>
    <w:rsid w:val="00B65C14"/>
    <w:rsid w:val="00B70A67"/>
    <w:rsid w:val="00B71632"/>
    <w:rsid w:val="00B77EC8"/>
    <w:rsid w:val="00B81EB8"/>
    <w:rsid w:val="00B87CBD"/>
    <w:rsid w:val="00B87FE6"/>
    <w:rsid w:val="00B96BED"/>
    <w:rsid w:val="00BA53AA"/>
    <w:rsid w:val="00BB1CD3"/>
    <w:rsid w:val="00BB58EF"/>
    <w:rsid w:val="00BD0942"/>
    <w:rsid w:val="00BD2206"/>
    <w:rsid w:val="00BD26E3"/>
    <w:rsid w:val="00BD2984"/>
    <w:rsid w:val="00BD3D69"/>
    <w:rsid w:val="00BD7A64"/>
    <w:rsid w:val="00BF0852"/>
    <w:rsid w:val="00C017CB"/>
    <w:rsid w:val="00C02079"/>
    <w:rsid w:val="00C105D9"/>
    <w:rsid w:val="00C22646"/>
    <w:rsid w:val="00C3133B"/>
    <w:rsid w:val="00C5701F"/>
    <w:rsid w:val="00C57BF1"/>
    <w:rsid w:val="00C705EB"/>
    <w:rsid w:val="00C72348"/>
    <w:rsid w:val="00C7591A"/>
    <w:rsid w:val="00C83005"/>
    <w:rsid w:val="00C96172"/>
    <w:rsid w:val="00C9737F"/>
    <w:rsid w:val="00C97837"/>
    <w:rsid w:val="00CB1F7A"/>
    <w:rsid w:val="00CB5F23"/>
    <w:rsid w:val="00CC72D7"/>
    <w:rsid w:val="00CD4C3D"/>
    <w:rsid w:val="00CE6FAD"/>
    <w:rsid w:val="00CF60B7"/>
    <w:rsid w:val="00D05950"/>
    <w:rsid w:val="00D12BC7"/>
    <w:rsid w:val="00D13826"/>
    <w:rsid w:val="00D31E52"/>
    <w:rsid w:val="00D50ECC"/>
    <w:rsid w:val="00D83D98"/>
    <w:rsid w:val="00D84C80"/>
    <w:rsid w:val="00D965CE"/>
    <w:rsid w:val="00DA0B26"/>
    <w:rsid w:val="00DA7AC6"/>
    <w:rsid w:val="00DB1F3D"/>
    <w:rsid w:val="00DD08B6"/>
    <w:rsid w:val="00DF0E53"/>
    <w:rsid w:val="00DF1A38"/>
    <w:rsid w:val="00DF2071"/>
    <w:rsid w:val="00E20D9C"/>
    <w:rsid w:val="00E37303"/>
    <w:rsid w:val="00E50090"/>
    <w:rsid w:val="00E5678F"/>
    <w:rsid w:val="00E567DE"/>
    <w:rsid w:val="00E616B8"/>
    <w:rsid w:val="00E62F33"/>
    <w:rsid w:val="00E706A4"/>
    <w:rsid w:val="00E73CE3"/>
    <w:rsid w:val="00E7460D"/>
    <w:rsid w:val="00E80680"/>
    <w:rsid w:val="00E91C1E"/>
    <w:rsid w:val="00E925D2"/>
    <w:rsid w:val="00E96167"/>
    <w:rsid w:val="00EB313E"/>
    <w:rsid w:val="00EC0098"/>
    <w:rsid w:val="00EC2D5F"/>
    <w:rsid w:val="00ED27C3"/>
    <w:rsid w:val="00ED7012"/>
    <w:rsid w:val="00EF4A02"/>
    <w:rsid w:val="00EF4E74"/>
    <w:rsid w:val="00F03EE5"/>
    <w:rsid w:val="00F102E2"/>
    <w:rsid w:val="00F13ED3"/>
    <w:rsid w:val="00F2232F"/>
    <w:rsid w:val="00F24EC7"/>
    <w:rsid w:val="00F31F05"/>
    <w:rsid w:val="00F4159D"/>
    <w:rsid w:val="00F52DC7"/>
    <w:rsid w:val="00F6280E"/>
    <w:rsid w:val="00F6536F"/>
    <w:rsid w:val="00F72F28"/>
    <w:rsid w:val="00F760D6"/>
    <w:rsid w:val="00F76336"/>
    <w:rsid w:val="00F83D13"/>
    <w:rsid w:val="00F87C5B"/>
    <w:rsid w:val="00F9000E"/>
    <w:rsid w:val="00FB2461"/>
    <w:rsid w:val="00FB5141"/>
    <w:rsid w:val="00FB61E8"/>
    <w:rsid w:val="00FC2FF8"/>
    <w:rsid w:val="00FC7F35"/>
    <w:rsid w:val="00FE0CE1"/>
    <w:rsid w:val="00FE4612"/>
    <w:rsid w:val="00FE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0D66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iPriority w:val="99"/>
    <w:semiHidden/>
    <w:unhideWhenUsed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uiPriority w:val="99"/>
    <w:semiHidden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28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aliases w:val="المحسن"/>
    <w:rsid w:val="00A5027D"/>
    <w:pPr>
      <w:bidi/>
      <w:spacing w:line="540" w:lineRule="exact"/>
      <w:ind w:firstLine="0"/>
    </w:pPr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1">
    <w:name w:val="heading 1"/>
    <w:aliases w:val="- -"/>
    <w:basedOn w:val="a0"/>
    <w:link w:val="1Char"/>
    <w:uiPriority w:val="9"/>
    <w:qFormat/>
    <w:rsid w:val="00CB1F7A"/>
    <w:pPr>
      <w:outlineLvl w:val="0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الحاشية"/>
    <w:basedOn w:val="a5"/>
    <w:uiPriority w:val="1"/>
    <w:qFormat/>
    <w:rsid w:val="00CB1F7A"/>
    <w:pPr>
      <w:spacing w:line="240" w:lineRule="auto"/>
      <w:ind w:firstLine="0"/>
    </w:pPr>
    <w:rPr>
      <w:sz w:val="22"/>
      <w:szCs w:val="22"/>
    </w:rPr>
  </w:style>
  <w:style w:type="character" w:customStyle="1" w:styleId="1Char">
    <w:name w:val="عنوان 1 Char"/>
    <w:aliases w:val="- - Char"/>
    <w:basedOn w:val="a1"/>
    <w:link w:val="1"/>
    <w:uiPriority w:val="9"/>
    <w:rsid w:val="00CB1F7A"/>
    <w:rPr>
      <w:rFonts w:ascii="almohsin" w:hAnsi="almohsin" w:cs="almohsin"/>
      <w:sz w:val="22"/>
      <w:szCs w:val="22"/>
    </w:rPr>
  </w:style>
  <w:style w:type="paragraph" w:styleId="a5">
    <w:name w:val="footnote text"/>
    <w:basedOn w:val="a"/>
    <w:link w:val="Char"/>
    <w:uiPriority w:val="99"/>
    <w:semiHidden/>
    <w:unhideWhenUsed/>
    <w:rsid w:val="003C5C22"/>
    <w:pPr>
      <w:bidi w:val="0"/>
      <w:spacing w:line="228" w:lineRule="auto"/>
      <w:ind w:firstLine="567"/>
    </w:pPr>
    <w:rPr>
      <w:rFonts w:ascii="almohsin" w:eastAsia="Times New Roman" w:hAnsi="almohsin" w:cs="almohsin"/>
      <w:sz w:val="20"/>
      <w:szCs w:val="20"/>
      <w:lang w:val="en-US"/>
    </w:rPr>
  </w:style>
  <w:style w:type="character" w:customStyle="1" w:styleId="Char">
    <w:name w:val="نص حاشية سفلية Char"/>
    <w:basedOn w:val="a1"/>
    <w:link w:val="a5"/>
    <w:uiPriority w:val="99"/>
    <w:semiHidden/>
    <w:rsid w:val="003C5C22"/>
    <w:rPr>
      <w:rFonts w:ascii="almohsin" w:hAnsi="almohsin" w:cs="almohsin"/>
    </w:rPr>
  </w:style>
  <w:style w:type="character" w:customStyle="1" w:styleId="Char0">
    <w:name w:val="المحسن Char"/>
    <w:basedOn w:val="a1"/>
    <w:rsid w:val="003A4C77"/>
    <w:rPr>
      <w:rFonts w:ascii="almohsin" w:hAnsi="almohsin" w:cs="almohsin"/>
      <w:sz w:val="30"/>
      <w:szCs w:val="30"/>
    </w:rPr>
  </w:style>
  <w:style w:type="paragraph" w:customStyle="1" w:styleId="a6">
    <w:name w:val="عنوان باب"/>
    <w:basedOn w:val="a"/>
    <w:link w:val="Char1"/>
    <w:qFormat/>
    <w:rsid w:val="00FB61E8"/>
    <w:pPr>
      <w:widowControl w:val="0"/>
      <w:tabs>
        <w:tab w:val="left" w:pos="2862"/>
        <w:tab w:val="center" w:pos="3685"/>
      </w:tabs>
      <w:spacing w:after="240" w:line="228" w:lineRule="auto"/>
      <w:jc w:val="center"/>
    </w:pPr>
    <w:rPr>
      <w:rFonts w:ascii="almohsin" w:eastAsia="Times New Roman" w:hAnsi="almohsin" w:cs="mylotus"/>
      <w:b/>
      <w:bCs/>
      <w:sz w:val="50"/>
      <w:szCs w:val="50"/>
      <w:lang w:val="en-US"/>
    </w:rPr>
  </w:style>
  <w:style w:type="character" w:customStyle="1" w:styleId="Char1">
    <w:name w:val="عنوان باب Char"/>
    <w:basedOn w:val="a1"/>
    <w:link w:val="a6"/>
    <w:rsid w:val="00FB61E8"/>
    <w:rPr>
      <w:rFonts w:ascii="almohsin" w:hAnsi="almohsin" w:cs="mylotus"/>
      <w:b/>
      <w:bCs/>
      <w:sz w:val="50"/>
      <w:szCs w:val="50"/>
    </w:rPr>
  </w:style>
  <w:style w:type="paragraph" w:customStyle="1" w:styleId="a0">
    <w:name w:val="المتن"/>
    <w:basedOn w:val="a"/>
    <w:link w:val="Char2"/>
    <w:qFormat/>
    <w:rsid w:val="00964B73"/>
    <w:pPr>
      <w:bidi w:val="0"/>
      <w:spacing w:line="228" w:lineRule="auto"/>
      <w:ind w:firstLine="397"/>
    </w:pPr>
    <w:rPr>
      <w:rFonts w:ascii="almohsin" w:eastAsia="Times New Roman" w:hAnsi="almohsin" w:cs="mylotus"/>
      <w:sz w:val="30"/>
      <w:lang w:val="en-US"/>
    </w:rPr>
  </w:style>
  <w:style w:type="character" w:customStyle="1" w:styleId="Char2">
    <w:name w:val="المتن Char"/>
    <w:basedOn w:val="a1"/>
    <w:link w:val="a0"/>
    <w:rsid w:val="00964B73"/>
    <w:rPr>
      <w:rFonts w:ascii="almohsin" w:hAnsi="almohsin" w:cs="mylotus"/>
      <w:sz w:val="30"/>
      <w:szCs w:val="32"/>
    </w:rPr>
  </w:style>
  <w:style w:type="paragraph" w:customStyle="1" w:styleId="a7">
    <w:name w:val="عنوان رئيس"/>
    <w:basedOn w:val="a0"/>
    <w:link w:val="Char3"/>
    <w:qFormat/>
    <w:rsid w:val="00FB61E8"/>
    <w:pPr>
      <w:ind w:firstLine="0"/>
      <w:jc w:val="center"/>
    </w:pPr>
    <w:rPr>
      <w:b/>
      <w:bCs/>
      <w:sz w:val="40"/>
      <w:szCs w:val="40"/>
    </w:rPr>
  </w:style>
  <w:style w:type="character" w:customStyle="1" w:styleId="Char3">
    <w:name w:val="عنوان رئيس Char"/>
    <w:basedOn w:val="Char2"/>
    <w:link w:val="a7"/>
    <w:rsid w:val="00FB61E8"/>
    <w:rPr>
      <w:rFonts w:ascii="almohsin" w:hAnsi="almohsin" w:cs="mylotus"/>
      <w:b/>
      <w:bCs/>
      <w:sz w:val="40"/>
      <w:szCs w:val="40"/>
    </w:rPr>
  </w:style>
  <w:style w:type="paragraph" w:customStyle="1" w:styleId="a8">
    <w:name w:val="عنوان فرع"/>
    <w:basedOn w:val="a7"/>
    <w:link w:val="Char4"/>
    <w:qFormat/>
    <w:rsid w:val="00CB1F7A"/>
  </w:style>
  <w:style w:type="character" w:customStyle="1" w:styleId="Char4">
    <w:name w:val="عنوان فرع Char"/>
    <w:basedOn w:val="Char3"/>
    <w:link w:val="a8"/>
    <w:rsid w:val="00CB1F7A"/>
    <w:rPr>
      <w:rFonts w:ascii="almohsin" w:hAnsi="almohsin" w:cs="almohsin"/>
      <w:b/>
      <w:bCs/>
      <w:sz w:val="40"/>
      <w:szCs w:val="40"/>
    </w:rPr>
  </w:style>
  <w:style w:type="paragraph" w:styleId="a9">
    <w:name w:val="header"/>
    <w:aliases w:val="رأس صفحة"/>
    <w:basedOn w:val="a"/>
    <w:link w:val="Char5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5">
    <w:name w:val="رأس الصفحة Char"/>
    <w:aliases w:val="رأس صفحة Char"/>
    <w:basedOn w:val="a1"/>
    <w:link w:val="a9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a">
    <w:name w:val="footer"/>
    <w:basedOn w:val="a"/>
    <w:link w:val="Char6"/>
    <w:uiPriority w:val="99"/>
    <w:unhideWhenUsed/>
    <w:rsid w:val="00A5027D"/>
    <w:pPr>
      <w:tabs>
        <w:tab w:val="center" w:pos="4513"/>
        <w:tab w:val="right" w:pos="9026"/>
      </w:tabs>
      <w:spacing w:line="240" w:lineRule="auto"/>
    </w:pPr>
  </w:style>
  <w:style w:type="character" w:customStyle="1" w:styleId="Char6">
    <w:name w:val="تذييل الصفحة Char"/>
    <w:basedOn w:val="a1"/>
    <w:link w:val="aa"/>
    <w:uiPriority w:val="99"/>
    <w:rsid w:val="00A5027D"/>
    <w:rPr>
      <w:rFonts w:ascii="Simplified Arabic" w:eastAsia="Calibri" w:hAnsi="Simplified Arabic" w:cs="Simplified Arabic"/>
      <w:sz w:val="32"/>
      <w:szCs w:val="32"/>
      <w:lang w:val="en"/>
    </w:rPr>
  </w:style>
  <w:style w:type="paragraph" w:styleId="ab">
    <w:name w:val="Balloon Text"/>
    <w:basedOn w:val="a"/>
    <w:link w:val="Char7"/>
    <w:uiPriority w:val="99"/>
    <w:semiHidden/>
    <w:unhideWhenUsed/>
    <w:rsid w:val="00BF08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7">
    <w:name w:val="نص في بالون Char"/>
    <w:basedOn w:val="a1"/>
    <w:link w:val="ab"/>
    <w:uiPriority w:val="99"/>
    <w:semiHidden/>
    <w:rsid w:val="00BF0852"/>
    <w:rPr>
      <w:rFonts w:ascii="Tahoma" w:eastAsia="Calibri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eel\Desktop\&#1602;&#1575;&#1604;&#1576;%20A4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4CFB4-43CB-4A83-845B-12E0297B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A4</Template>
  <TotalTime>421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عقيل آل انتيف</dc:creator>
  <cp:lastModifiedBy> </cp:lastModifiedBy>
  <cp:revision>7</cp:revision>
  <cp:lastPrinted>2024-01-07T16:37:00Z</cp:lastPrinted>
  <dcterms:created xsi:type="dcterms:W3CDTF">2026-09-12T09:57:00Z</dcterms:created>
  <dcterms:modified xsi:type="dcterms:W3CDTF">2026-09-12T17:01:00Z</dcterms:modified>
</cp:coreProperties>
</file>