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7A98D445" w14:textId="77777777" w:rsidR="00AA446A"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5414562D" w14:textId="77777777" w:rsidR="00AA446A" w:rsidRPr="00C43990" w:rsidRDefault="00AA446A" w:rsidP="00C43990">
      <w:pPr>
        <w:pStyle w:val="a0"/>
        <w:bidi/>
        <w:spacing w:line="216" w:lineRule="auto"/>
        <w:rPr>
          <w:rFonts w:ascii="mylotus" w:hAnsi="mylotus"/>
          <w:sz w:val="34"/>
          <w:szCs w:val="34"/>
          <w:rtl/>
          <w:lang w:bidi="ar-IQ"/>
        </w:rPr>
      </w:pPr>
    </w:p>
    <w:p w14:paraId="313C1220" w14:textId="77777777" w:rsidR="00C43990" w:rsidRPr="00C43990" w:rsidRDefault="00C43990" w:rsidP="00C43990">
      <w:pPr>
        <w:pStyle w:val="a0"/>
        <w:widowControl w:val="0"/>
        <w:bidi/>
        <w:spacing w:line="216" w:lineRule="auto"/>
        <w:rPr>
          <w:rFonts w:ascii="mylotus" w:hAnsi="mylotus"/>
          <w:sz w:val="34"/>
          <w:szCs w:val="34"/>
          <w:rtl/>
        </w:rPr>
      </w:pPr>
      <w:r w:rsidRPr="00C43990">
        <w:rPr>
          <w:rFonts w:ascii="mylotus" w:hAnsi="mylotus"/>
          <w:b/>
          <w:bCs/>
          <w:sz w:val="34"/>
          <w:szCs w:val="34"/>
          <w:rtl/>
        </w:rPr>
        <w:t>المنشأ الثالث:</w:t>
      </w:r>
      <w:r w:rsidRPr="00C43990">
        <w:rPr>
          <w:rFonts w:ascii="mylotus" w:hAnsi="mylotus"/>
          <w:sz w:val="34"/>
          <w:szCs w:val="34"/>
          <w:rtl/>
        </w:rPr>
        <w:t xml:space="preserve"> وهو ما ذهب إليه سيدنا الخوئي قدس سره في باب الأوامر [المحاضرات ج2 ص14]، وهو بنكتته شامل لباب النواهي</w:t>
      </w:r>
      <w:r w:rsidRPr="00C43990">
        <w:rPr>
          <w:rFonts w:ascii="mylotus" w:hAnsi="mylotus"/>
          <w:sz w:val="34"/>
          <w:szCs w:val="34"/>
        </w:rPr>
        <w:t>.</w:t>
      </w:r>
    </w:p>
    <w:p w14:paraId="689020DA" w14:textId="65A58F40" w:rsidR="00C43990" w:rsidRPr="00C43990" w:rsidRDefault="00C43990" w:rsidP="00C43990">
      <w:pPr>
        <w:pStyle w:val="a0"/>
        <w:widowControl w:val="0"/>
        <w:bidi/>
        <w:spacing w:line="216" w:lineRule="auto"/>
        <w:rPr>
          <w:rFonts w:ascii="mylotus" w:hAnsi="mylotus"/>
          <w:sz w:val="34"/>
          <w:szCs w:val="34"/>
          <w:rtl/>
        </w:rPr>
      </w:pPr>
      <w:r w:rsidRPr="00C43990">
        <w:rPr>
          <w:rFonts w:ascii="mylotus" w:hAnsi="mylotus"/>
          <w:b/>
          <w:bCs/>
          <w:sz w:val="34"/>
          <w:szCs w:val="34"/>
          <w:rtl/>
        </w:rPr>
        <w:t>ويمكن تقريب المسلك وصياغته بأحد نحوين:</w:t>
      </w:r>
      <w:r w:rsidRPr="00C43990">
        <w:rPr>
          <w:rFonts w:ascii="mylotus" w:hAnsi="mylotus"/>
          <w:sz w:val="34"/>
          <w:szCs w:val="34"/>
          <w:rtl/>
        </w:rPr>
        <w:t xml:space="preserve"> تارة بدعوى أنه من مقررات</w:t>
      </w:r>
      <w:r w:rsidR="007512EE">
        <w:rPr>
          <w:rFonts w:ascii="mylotus" w:hAnsi="mylotus"/>
          <w:sz w:val="34"/>
          <w:szCs w:val="34"/>
          <w:rtl/>
        </w:rPr>
        <w:t xml:space="preserve"> </w:t>
      </w:r>
      <w:r w:rsidRPr="00C43990">
        <w:rPr>
          <w:rFonts w:ascii="mylotus" w:hAnsi="mylotus"/>
          <w:sz w:val="34"/>
          <w:szCs w:val="34"/>
          <w:rtl/>
        </w:rPr>
        <w:t>العقل، وأخرى بدعوى بناء العقلاء</w:t>
      </w:r>
      <w:r w:rsidRPr="00C43990">
        <w:rPr>
          <w:rFonts w:ascii="mylotus" w:hAnsi="mylotus"/>
          <w:sz w:val="34"/>
          <w:szCs w:val="34"/>
        </w:rPr>
        <w:t>.</w:t>
      </w:r>
    </w:p>
    <w:p w14:paraId="135BCC56" w14:textId="10AD272D" w:rsidR="00C43990" w:rsidRDefault="00C43990" w:rsidP="00C43990">
      <w:pPr>
        <w:pStyle w:val="a0"/>
        <w:widowControl w:val="0"/>
        <w:bidi/>
        <w:spacing w:line="216" w:lineRule="auto"/>
        <w:rPr>
          <w:rFonts w:ascii="mylotus" w:hAnsi="mylotus" w:hint="cs"/>
          <w:sz w:val="34"/>
          <w:szCs w:val="34"/>
          <w:rtl/>
        </w:rPr>
      </w:pPr>
      <w:r w:rsidRPr="00C43990">
        <w:rPr>
          <w:rFonts w:ascii="mylotus" w:hAnsi="mylotus"/>
          <w:b/>
          <w:bCs/>
          <w:sz w:val="34"/>
          <w:szCs w:val="34"/>
          <w:rtl/>
        </w:rPr>
        <w:t>النحو الأول:</w:t>
      </w:r>
      <w:r>
        <w:rPr>
          <w:rFonts w:ascii="mylotus" w:hAnsi="mylotus"/>
          <w:sz w:val="34"/>
          <w:szCs w:val="34"/>
          <w:rtl/>
        </w:rPr>
        <w:t xml:space="preserve"> في تقريرات مبناه قولان</w:t>
      </w:r>
      <w:r>
        <w:rPr>
          <w:rFonts w:ascii="mylotus" w:hAnsi="mylotus" w:hint="cs"/>
          <w:sz w:val="34"/>
          <w:szCs w:val="34"/>
          <w:rtl/>
        </w:rPr>
        <w:t>:</w:t>
      </w:r>
      <w:r w:rsidRPr="00C43990">
        <w:rPr>
          <w:rFonts w:ascii="mylotus" w:hAnsi="mylotus"/>
          <w:sz w:val="34"/>
          <w:szCs w:val="34"/>
          <w:rtl/>
        </w:rPr>
        <w:t xml:space="preserve"> أحد</w:t>
      </w:r>
      <w:r>
        <w:rPr>
          <w:rFonts w:ascii="mylotus" w:hAnsi="mylotus"/>
          <w:sz w:val="34"/>
          <w:szCs w:val="34"/>
          <w:rtl/>
        </w:rPr>
        <w:t>هما</w:t>
      </w:r>
      <w:r w:rsidRPr="00C43990">
        <w:rPr>
          <w:rFonts w:ascii="mylotus" w:hAnsi="mylotus"/>
          <w:sz w:val="34"/>
          <w:szCs w:val="34"/>
          <w:rtl/>
        </w:rPr>
        <w:t>: ما</w:t>
      </w:r>
      <w:r>
        <w:rPr>
          <w:rFonts w:ascii="mylotus" w:hAnsi="mylotus" w:hint="cs"/>
          <w:sz w:val="34"/>
          <w:szCs w:val="34"/>
          <w:rtl/>
        </w:rPr>
        <w:t xml:space="preserve"> </w:t>
      </w:r>
      <w:r>
        <w:rPr>
          <w:rFonts w:ascii="mylotus" w:hAnsi="mylotus"/>
          <w:sz w:val="34"/>
          <w:szCs w:val="34"/>
          <w:rtl/>
        </w:rPr>
        <w:t>في</w:t>
      </w:r>
      <w:r w:rsidR="007512EE">
        <w:rPr>
          <w:rFonts w:ascii="mylotus" w:hAnsi="mylotus"/>
          <w:sz w:val="34"/>
          <w:szCs w:val="34"/>
          <w:rtl/>
        </w:rPr>
        <w:t xml:space="preserve"> </w:t>
      </w:r>
      <w:r>
        <w:rPr>
          <w:rFonts w:ascii="mylotus" w:hAnsi="mylotus"/>
          <w:sz w:val="34"/>
          <w:szCs w:val="34"/>
          <w:rtl/>
        </w:rPr>
        <w:t>[الدراسات ج1 ص</w:t>
      </w:r>
      <w:r w:rsidRPr="00C43990">
        <w:rPr>
          <w:rFonts w:ascii="mylotus" w:hAnsi="mylotus"/>
          <w:sz w:val="34"/>
          <w:szCs w:val="34"/>
          <w:rtl/>
        </w:rPr>
        <w:t>178] من كونه عنوانا</w:t>
      </w:r>
      <w:r>
        <w:rPr>
          <w:rFonts w:ascii="mylotus" w:hAnsi="mylotus" w:hint="cs"/>
          <w:sz w:val="34"/>
          <w:szCs w:val="34"/>
          <w:rtl/>
        </w:rPr>
        <w:t>ً</w:t>
      </w:r>
      <w:r w:rsidRPr="00C43990">
        <w:rPr>
          <w:rFonts w:ascii="mylotus" w:hAnsi="mylotus"/>
          <w:sz w:val="34"/>
          <w:szCs w:val="34"/>
          <w:rtl/>
        </w:rPr>
        <w:t xml:space="preserve"> منتزعا</w:t>
      </w:r>
      <w:r>
        <w:rPr>
          <w:rFonts w:ascii="mylotus" w:hAnsi="mylotus" w:hint="cs"/>
          <w:sz w:val="34"/>
          <w:szCs w:val="34"/>
          <w:rtl/>
        </w:rPr>
        <w:t>ً</w:t>
      </w:r>
      <w:r w:rsidRPr="00C43990">
        <w:rPr>
          <w:rFonts w:ascii="mylotus" w:hAnsi="mylotus"/>
          <w:sz w:val="34"/>
          <w:szCs w:val="34"/>
          <w:rtl/>
        </w:rPr>
        <w:t xml:space="preserve"> من إبراز الاعتبار النفساني وعدم الترخيص</w:t>
      </w:r>
      <w:r w:rsidR="007512EE">
        <w:rPr>
          <w:rFonts w:ascii="mylotus" w:hAnsi="mylotus"/>
          <w:sz w:val="34"/>
          <w:szCs w:val="34"/>
          <w:rtl/>
        </w:rPr>
        <w:t>،</w:t>
      </w:r>
      <w:r w:rsidRPr="00C43990">
        <w:rPr>
          <w:rFonts w:ascii="mylotus" w:hAnsi="mylotus"/>
          <w:sz w:val="34"/>
          <w:szCs w:val="34"/>
          <w:rtl/>
        </w:rPr>
        <w:t xml:space="preserve"> حيث قال</w:t>
      </w:r>
      <w:r>
        <w:rPr>
          <w:rFonts w:ascii="mylotus" w:hAnsi="mylotus" w:hint="cs"/>
          <w:sz w:val="34"/>
          <w:szCs w:val="34"/>
          <w:rtl/>
        </w:rPr>
        <w:t>:</w:t>
      </w:r>
      <w:r>
        <w:rPr>
          <w:rFonts w:ascii="mylotus" w:hAnsi="mylotus"/>
          <w:sz w:val="34"/>
          <w:szCs w:val="34"/>
          <w:rtl/>
        </w:rPr>
        <w:t xml:space="preserve"> </w:t>
      </w:r>
      <w:r w:rsidRPr="00C43990">
        <w:rPr>
          <w:rFonts w:ascii="mylotus" w:hAnsi="mylotus"/>
          <w:b/>
          <w:bCs/>
          <w:sz w:val="34"/>
          <w:szCs w:val="34"/>
          <w:rtl/>
        </w:rPr>
        <w:t>(</w:t>
      </w:r>
      <w:r w:rsidRPr="00C43990">
        <w:rPr>
          <w:rFonts w:ascii="mylotus" w:hAnsi="mylotus"/>
          <w:b/>
          <w:bCs/>
          <w:sz w:val="34"/>
          <w:szCs w:val="34"/>
          <w:rtl/>
        </w:rPr>
        <w:t>فالوجوب يكون بحكم المولى فإنه ي</w:t>
      </w:r>
      <w:r w:rsidRPr="00C43990">
        <w:rPr>
          <w:rFonts w:ascii="mylotus" w:hAnsi="mylotus"/>
          <w:b/>
          <w:bCs/>
          <w:sz w:val="34"/>
          <w:szCs w:val="34"/>
          <w:rtl/>
        </w:rPr>
        <w:t>ثبت العمل ويلزمه على ذمة المكلف)</w:t>
      </w:r>
      <w:r>
        <w:rPr>
          <w:rFonts w:ascii="mylotus" w:hAnsi="mylotus"/>
          <w:sz w:val="34"/>
          <w:szCs w:val="34"/>
          <w:rtl/>
        </w:rPr>
        <w:t xml:space="preserve"> </w:t>
      </w:r>
      <w:r>
        <w:rPr>
          <w:rFonts w:ascii="mylotus" w:hAnsi="mylotus" w:hint="cs"/>
          <w:sz w:val="34"/>
          <w:szCs w:val="34"/>
          <w:rtl/>
        </w:rPr>
        <w:t>إ</w:t>
      </w:r>
      <w:r w:rsidRPr="00C43990">
        <w:rPr>
          <w:rFonts w:ascii="mylotus" w:hAnsi="mylotus"/>
          <w:sz w:val="34"/>
          <w:szCs w:val="34"/>
          <w:rtl/>
        </w:rPr>
        <w:t>لى أن قال</w:t>
      </w:r>
      <w:r>
        <w:rPr>
          <w:rFonts w:ascii="mylotus" w:hAnsi="mylotus" w:hint="cs"/>
          <w:sz w:val="34"/>
          <w:szCs w:val="34"/>
          <w:rtl/>
        </w:rPr>
        <w:t>:</w:t>
      </w:r>
      <w:r>
        <w:rPr>
          <w:rFonts w:ascii="mylotus" w:hAnsi="mylotus"/>
          <w:sz w:val="34"/>
          <w:szCs w:val="34"/>
          <w:rtl/>
        </w:rPr>
        <w:t xml:space="preserve"> </w:t>
      </w:r>
      <w:r w:rsidRPr="00C43990">
        <w:rPr>
          <w:rFonts w:ascii="mylotus" w:hAnsi="mylotus"/>
          <w:b/>
          <w:bCs/>
          <w:sz w:val="34"/>
          <w:szCs w:val="34"/>
          <w:rtl/>
        </w:rPr>
        <w:t>(</w:t>
      </w:r>
      <w:r w:rsidRPr="00C43990">
        <w:rPr>
          <w:rFonts w:ascii="mylotus" w:hAnsi="mylotus"/>
          <w:b/>
          <w:bCs/>
          <w:sz w:val="34"/>
          <w:szCs w:val="34"/>
          <w:rtl/>
        </w:rPr>
        <w:t>وبالجملة فالإيجاب فعل المولى وليس بحكم العقل كما توهم</w:t>
      </w:r>
      <w:r w:rsidR="007512EE">
        <w:rPr>
          <w:rFonts w:ascii="mylotus" w:hAnsi="mylotus"/>
          <w:b/>
          <w:bCs/>
          <w:sz w:val="34"/>
          <w:szCs w:val="34"/>
          <w:rtl/>
        </w:rPr>
        <w:t>،</w:t>
      </w:r>
      <w:r w:rsidRPr="00C43990">
        <w:rPr>
          <w:rFonts w:ascii="mylotus" w:hAnsi="mylotus"/>
          <w:b/>
          <w:bCs/>
          <w:sz w:val="34"/>
          <w:szCs w:val="34"/>
          <w:rtl/>
        </w:rPr>
        <w:t xml:space="preserve"> كما أنه ليس مدلولا</w:t>
      </w:r>
      <w:r w:rsidRPr="00C43990">
        <w:rPr>
          <w:rFonts w:ascii="mylotus" w:hAnsi="mylotus" w:hint="cs"/>
          <w:b/>
          <w:bCs/>
          <w:sz w:val="34"/>
          <w:szCs w:val="34"/>
          <w:rtl/>
        </w:rPr>
        <w:t>ً</w:t>
      </w:r>
      <w:r w:rsidRPr="00C43990">
        <w:rPr>
          <w:rFonts w:ascii="mylotus" w:hAnsi="mylotus"/>
          <w:b/>
          <w:bCs/>
          <w:sz w:val="34"/>
          <w:szCs w:val="34"/>
          <w:rtl/>
        </w:rPr>
        <w:t xml:space="preserve"> للفظ</w:t>
      </w:r>
      <w:r w:rsidRPr="00C43990">
        <w:rPr>
          <w:rFonts w:ascii="mylotus" w:hAnsi="mylotus"/>
          <w:b/>
          <w:bCs/>
          <w:sz w:val="34"/>
          <w:szCs w:val="34"/>
          <w:rtl/>
        </w:rPr>
        <w:t>)</w:t>
      </w:r>
      <w:r>
        <w:rPr>
          <w:rFonts w:ascii="mylotus" w:hAnsi="mylotus" w:hint="cs"/>
          <w:sz w:val="34"/>
          <w:szCs w:val="34"/>
          <w:rtl/>
        </w:rPr>
        <w:t>.</w:t>
      </w:r>
      <w:r w:rsidRPr="00C43990">
        <w:rPr>
          <w:rFonts w:ascii="mylotus" w:hAnsi="mylotus"/>
          <w:sz w:val="34"/>
          <w:szCs w:val="34"/>
          <w:rtl/>
        </w:rPr>
        <w:t xml:space="preserve"> وأصرح منه ما</w:t>
      </w:r>
      <w:r>
        <w:rPr>
          <w:rFonts w:ascii="mylotus" w:hAnsi="mylotus" w:hint="cs"/>
          <w:sz w:val="34"/>
          <w:szCs w:val="34"/>
          <w:rtl/>
        </w:rPr>
        <w:t xml:space="preserve"> </w:t>
      </w:r>
      <w:r w:rsidRPr="00C43990">
        <w:rPr>
          <w:rFonts w:ascii="mylotus" w:hAnsi="mylotus"/>
          <w:sz w:val="34"/>
          <w:szCs w:val="34"/>
          <w:rtl/>
        </w:rPr>
        <w:t>ف</w:t>
      </w:r>
      <w:r>
        <w:rPr>
          <w:rFonts w:ascii="mylotus" w:hAnsi="mylotus"/>
          <w:sz w:val="34"/>
          <w:szCs w:val="34"/>
          <w:rtl/>
        </w:rPr>
        <w:t>ي تقريره الآخر</w:t>
      </w:r>
      <w:r w:rsidR="007512EE">
        <w:rPr>
          <w:rFonts w:ascii="mylotus" w:hAnsi="mylotus"/>
          <w:sz w:val="34"/>
          <w:szCs w:val="34"/>
          <w:rtl/>
        </w:rPr>
        <w:t xml:space="preserve"> </w:t>
      </w:r>
      <w:r>
        <w:rPr>
          <w:rFonts w:ascii="mylotus" w:hAnsi="mylotus"/>
          <w:sz w:val="34"/>
          <w:szCs w:val="34"/>
          <w:rtl/>
        </w:rPr>
        <w:t>[غاية المأمول ج1 ص</w:t>
      </w:r>
      <w:r w:rsidRPr="00C43990">
        <w:rPr>
          <w:rFonts w:ascii="mylotus" w:hAnsi="mylotus"/>
          <w:sz w:val="34"/>
          <w:szCs w:val="34"/>
          <w:rtl/>
        </w:rPr>
        <w:t>251] حيث قال</w:t>
      </w:r>
      <w:r>
        <w:rPr>
          <w:rFonts w:ascii="mylotus" w:hAnsi="mylotus" w:hint="cs"/>
          <w:sz w:val="34"/>
          <w:szCs w:val="34"/>
          <w:rtl/>
        </w:rPr>
        <w:t>:</w:t>
      </w:r>
      <w:r>
        <w:rPr>
          <w:rFonts w:ascii="mylotus" w:hAnsi="mylotus"/>
          <w:sz w:val="34"/>
          <w:szCs w:val="34"/>
          <w:rtl/>
        </w:rPr>
        <w:t xml:space="preserve"> (</w:t>
      </w:r>
      <w:r w:rsidRPr="00C43990">
        <w:rPr>
          <w:rFonts w:ascii="mylotus" w:hAnsi="mylotus"/>
          <w:b/>
          <w:bCs/>
          <w:sz w:val="34"/>
          <w:szCs w:val="34"/>
          <w:rtl/>
        </w:rPr>
        <w:t>قد ظهر بما ذكرنا أن ال</w:t>
      </w:r>
      <w:r w:rsidRPr="00C43990">
        <w:rPr>
          <w:rFonts w:ascii="mylotus" w:hAnsi="mylotus"/>
          <w:b/>
          <w:bCs/>
          <w:sz w:val="34"/>
          <w:szCs w:val="34"/>
          <w:rtl/>
        </w:rPr>
        <w:t>دلالة على الوجوب ليس بحكم العقل</w:t>
      </w:r>
      <w:r w:rsidRPr="00C43990">
        <w:rPr>
          <w:rFonts w:ascii="mylotus" w:hAnsi="mylotus"/>
          <w:b/>
          <w:bCs/>
          <w:sz w:val="34"/>
          <w:szCs w:val="34"/>
          <w:rtl/>
        </w:rPr>
        <w:t xml:space="preserve"> </w:t>
      </w:r>
      <w:r w:rsidRPr="00C43990">
        <w:rPr>
          <w:rFonts w:ascii="mylotus" w:hAnsi="mylotus" w:hint="cs"/>
          <w:sz w:val="34"/>
          <w:szCs w:val="34"/>
          <w:rtl/>
        </w:rPr>
        <w:t>-</w:t>
      </w:r>
      <w:r w:rsidRPr="00C43990">
        <w:rPr>
          <w:rFonts w:ascii="mylotus" w:hAnsi="mylotus"/>
          <w:sz w:val="34"/>
          <w:szCs w:val="34"/>
          <w:rtl/>
        </w:rPr>
        <w:t>كما ذكره الميرزا النائيني قد</w:t>
      </w:r>
      <w:r w:rsidRPr="00C43990">
        <w:rPr>
          <w:rFonts w:ascii="mylotus" w:hAnsi="mylotus" w:hint="cs"/>
          <w:sz w:val="34"/>
          <w:szCs w:val="34"/>
          <w:rtl/>
        </w:rPr>
        <w:t>س سر</w:t>
      </w:r>
      <w:r w:rsidRPr="00C43990">
        <w:rPr>
          <w:rFonts w:ascii="mylotus" w:hAnsi="mylotus"/>
          <w:sz w:val="34"/>
          <w:szCs w:val="34"/>
          <w:rtl/>
        </w:rPr>
        <w:t>ه [</w:t>
      </w:r>
      <w:r w:rsidRPr="00C43990">
        <w:rPr>
          <w:rFonts w:ascii="mylotus" w:hAnsi="mylotus"/>
          <w:sz w:val="34"/>
          <w:szCs w:val="34"/>
          <w:rtl/>
        </w:rPr>
        <w:t>أجود التقريرات ج1</w:t>
      </w:r>
      <w:r w:rsidRPr="00C43990">
        <w:rPr>
          <w:rFonts w:ascii="mylotus" w:hAnsi="mylotus" w:hint="cs"/>
          <w:sz w:val="34"/>
          <w:szCs w:val="34"/>
          <w:rtl/>
        </w:rPr>
        <w:t xml:space="preserve"> </w:t>
      </w:r>
      <w:r w:rsidRPr="00C43990">
        <w:rPr>
          <w:rFonts w:ascii="mylotus" w:hAnsi="mylotus"/>
          <w:sz w:val="34"/>
          <w:szCs w:val="34"/>
          <w:rtl/>
        </w:rPr>
        <w:t>ص144]</w:t>
      </w:r>
      <w:r w:rsidRPr="00C43990">
        <w:rPr>
          <w:rFonts w:ascii="mylotus" w:hAnsi="mylotus" w:hint="cs"/>
          <w:sz w:val="34"/>
          <w:szCs w:val="34"/>
          <w:rtl/>
        </w:rPr>
        <w:t>-</w:t>
      </w:r>
      <w:r w:rsidRPr="00C43990">
        <w:rPr>
          <w:rFonts w:ascii="mylotus" w:hAnsi="mylotus"/>
          <w:b/>
          <w:bCs/>
          <w:sz w:val="34"/>
          <w:szCs w:val="34"/>
          <w:rtl/>
        </w:rPr>
        <w:t xml:space="preserve"> بل بالدلالة من ن</w:t>
      </w:r>
      <w:r w:rsidRPr="00C43990">
        <w:rPr>
          <w:rFonts w:ascii="mylotus" w:hAnsi="mylotus"/>
          <w:b/>
          <w:bCs/>
          <w:sz w:val="34"/>
          <w:szCs w:val="34"/>
          <w:rtl/>
        </w:rPr>
        <w:t>فس الصيغة بضميمة عدم ذكر المرخص</w:t>
      </w:r>
      <w:r w:rsidRPr="00C43990">
        <w:rPr>
          <w:rFonts w:ascii="mylotus" w:hAnsi="mylotus"/>
          <w:sz w:val="34"/>
          <w:szCs w:val="34"/>
          <w:rtl/>
        </w:rPr>
        <w:t>)</w:t>
      </w:r>
      <w:r>
        <w:rPr>
          <w:rFonts w:ascii="mylotus" w:hAnsi="mylotus" w:hint="cs"/>
          <w:sz w:val="34"/>
          <w:szCs w:val="34"/>
          <w:rtl/>
        </w:rPr>
        <w:t>.</w:t>
      </w:r>
    </w:p>
    <w:p w14:paraId="4797E0AB" w14:textId="34B21054" w:rsidR="00C43990" w:rsidRDefault="00C43990" w:rsidP="007512EE">
      <w:pPr>
        <w:pStyle w:val="a0"/>
        <w:bidi/>
        <w:spacing w:line="216" w:lineRule="auto"/>
        <w:rPr>
          <w:rFonts w:ascii="mylotus" w:hAnsi="mylotus" w:hint="cs"/>
          <w:sz w:val="34"/>
          <w:szCs w:val="34"/>
          <w:rtl/>
        </w:rPr>
      </w:pPr>
      <w:r w:rsidRPr="00C43990">
        <w:rPr>
          <w:rFonts w:ascii="mylotus" w:hAnsi="mylotus"/>
          <w:sz w:val="34"/>
          <w:szCs w:val="34"/>
          <w:rtl/>
        </w:rPr>
        <w:t>والجمع بين التقريرين يرشد إلى أن مسلكه هو أن الوجوب مجعول بالت</w:t>
      </w:r>
      <w:r>
        <w:rPr>
          <w:rFonts w:ascii="mylotus" w:hAnsi="mylotus"/>
          <w:sz w:val="34"/>
          <w:szCs w:val="34"/>
          <w:rtl/>
        </w:rPr>
        <w:t>بع</w:t>
      </w:r>
      <w:r w:rsidR="007512EE">
        <w:rPr>
          <w:rFonts w:ascii="mylotus" w:hAnsi="mylotus"/>
          <w:sz w:val="34"/>
          <w:szCs w:val="34"/>
          <w:rtl/>
        </w:rPr>
        <w:t>،</w:t>
      </w:r>
      <w:r>
        <w:rPr>
          <w:rFonts w:ascii="mylotus" w:hAnsi="mylotus"/>
          <w:sz w:val="34"/>
          <w:szCs w:val="34"/>
          <w:rtl/>
        </w:rPr>
        <w:t xml:space="preserve"> أي بتبع منشأ انتزاعه وهو (إبراز ال</w:t>
      </w:r>
      <w:r>
        <w:rPr>
          <w:rFonts w:ascii="mylotus" w:hAnsi="mylotus" w:hint="cs"/>
          <w:sz w:val="34"/>
          <w:szCs w:val="34"/>
          <w:rtl/>
        </w:rPr>
        <w:t>ا</w:t>
      </w:r>
      <w:r w:rsidRPr="00C43990">
        <w:rPr>
          <w:rFonts w:ascii="mylotus" w:hAnsi="mylotus"/>
          <w:sz w:val="34"/>
          <w:szCs w:val="34"/>
          <w:rtl/>
        </w:rPr>
        <w:t>عتبار وعدم الترخيص)</w:t>
      </w:r>
      <w:r>
        <w:rPr>
          <w:rFonts w:ascii="mylotus" w:hAnsi="mylotus" w:hint="cs"/>
          <w:sz w:val="34"/>
          <w:szCs w:val="34"/>
          <w:rtl/>
        </w:rPr>
        <w:t>،</w:t>
      </w:r>
      <w:r w:rsidRPr="00C43990">
        <w:rPr>
          <w:rFonts w:ascii="mylotus" w:hAnsi="mylotus"/>
          <w:sz w:val="34"/>
          <w:szCs w:val="34"/>
          <w:rtl/>
        </w:rPr>
        <w:t xml:space="preserve"> ولذلك نسب الإيجاب في الدراسات للمولى</w:t>
      </w:r>
      <w:r w:rsidR="007512EE">
        <w:rPr>
          <w:rFonts w:ascii="mylotus" w:hAnsi="mylotus"/>
          <w:sz w:val="34"/>
          <w:szCs w:val="34"/>
          <w:rtl/>
        </w:rPr>
        <w:t>،</w:t>
      </w:r>
      <w:r w:rsidRPr="00C43990">
        <w:rPr>
          <w:rFonts w:ascii="mylotus" w:hAnsi="mylotus"/>
          <w:sz w:val="34"/>
          <w:szCs w:val="34"/>
          <w:rtl/>
        </w:rPr>
        <w:t xml:space="preserve"> واعتبره في غاية المأمول من </w:t>
      </w:r>
      <w:proofErr w:type="spellStart"/>
      <w:r w:rsidRPr="00C43990">
        <w:rPr>
          <w:rFonts w:ascii="mylotus" w:hAnsi="mylotus"/>
          <w:sz w:val="34"/>
          <w:szCs w:val="34"/>
          <w:rtl/>
        </w:rPr>
        <w:t>مداليل</w:t>
      </w:r>
      <w:proofErr w:type="spellEnd"/>
      <w:r w:rsidRPr="00C43990">
        <w:rPr>
          <w:rFonts w:ascii="mylotus" w:hAnsi="mylotus"/>
          <w:sz w:val="34"/>
          <w:szCs w:val="34"/>
          <w:rtl/>
        </w:rPr>
        <w:t xml:space="preserve"> اللفظ</w:t>
      </w:r>
      <w:r w:rsidR="007512EE">
        <w:rPr>
          <w:rFonts w:ascii="mylotus" w:hAnsi="mylotus"/>
          <w:sz w:val="34"/>
          <w:szCs w:val="34"/>
          <w:rtl/>
        </w:rPr>
        <w:t>،</w:t>
      </w:r>
      <w:r w:rsidRPr="00C43990">
        <w:rPr>
          <w:rFonts w:ascii="mylotus" w:hAnsi="mylotus"/>
          <w:sz w:val="34"/>
          <w:szCs w:val="34"/>
          <w:rtl/>
        </w:rPr>
        <w:t xml:space="preserve"> ولو كان </w:t>
      </w:r>
      <w:proofErr w:type="spellStart"/>
      <w:r w:rsidRPr="00C43990">
        <w:rPr>
          <w:rFonts w:ascii="mylotus" w:hAnsi="mylotus"/>
          <w:sz w:val="34"/>
          <w:szCs w:val="34"/>
          <w:rtl/>
        </w:rPr>
        <w:t>مجعولا</w:t>
      </w:r>
      <w:r>
        <w:rPr>
          <w:rFonts w:ascii="mylotus" w:hAnsi="mylotus" w:hint="cs"/>
          <w:sz w:val="34"/>
          <w:szCs w:val="34"/>
          <w:rtl/>
        </w:rPr>
        <w:t>ً</w:t>
      </w:r>
      <w:proofErr w:type="spellEnd"/>
      <w:r w:rsidRPr="00C43990">
        <w:rPr>
          <w:rFonts w:ascii="mylotus" w:hAnsi="mylotus"/>
          <w:sz w:val="34"/>
          <w:szCs w:val="34"/>
          <w:rtl/>
        </w:rPr>
        <w:t xml:space="preserve"> بالعرض لم ينسب للمولى حقيقة</w:t>
      </w:r>
      <w:r w:rsidR="007512EE">
        <w:rPr>
          <w:rFonts w:ascii="mylotus" w:hAnsi="mylotus"/>
          <w:sz w:val="34"/>
          <w:szCs w:val="34"/>
          <w:rtl/>
        </w:rPr>
        <w:t>،</w:t>
      </w:r>
      <w:r w:rsidRPr="00C43990">
        <w:rPr>
          <w:rFonts w:ascii="mylotus" w:hAnsi="mylotus"/>
          <w:sz w:val="34"/>
          <w:szCs w:val="34"/>
          <w:rtl/>
        </w:rPr>
        <w:t xml:space="preserve"> وبناء</w:t>
      </w:r>
      <w:r>
        <w:rPr>
          <w:rFonts w:ascii="mylotus" w:hAnsi="mylotus" w:hint="cs"/>
          <w:sz w:val="34"/>
          <w:szCs w:val="34"/>
          <w:rtl/>
        </w:rPr>
        <w:t>ً</w:t>
      </w:r>
      <w:r w:rsidRPr="00C43990">
        <w:rPr>
          <w:rFonts w:ascii="mylotus" w:hAnsi="mylotus"/>
          <w:sz w:val="34"/>
          <w:szCs w:val="34"/>
          <w:rtl/>
        </w:rPr>
        <w:t xml:space="preserve"> على هذا التقرير يكون الوجوب قابلا</w:t>
      </w:r>
      <w:r>
        <w:rPr>
          <w:rFonts w:ascii="mylotus" w:hAnsi="mylotus" w:hint="cs"/>
          <w:sz w:val="34"/>
          <w:szCs w:val="34"/>
          <w:rtl/>
        </w:rPr>
        <w:t>ً</w:t>
      </w:r>
      <w:r>
        <w:rPr>
          <w:rFonts w:ascii="mylotus" w:hAnsi="mylotus"/>
          <w:sz w:val="34"/>
          <w:szCs w:val="34"/>
          <w:rtl/>
        </w:rPr>
        <w:t xml:space="preserve"> للوضع والرفع شرعا</w:t>
      </w:r>
      <w:r>
        <w:rPr>
          <w:rFonts w:ascii="mylotus" w:hAnsi="mylotus" w:hint="cs"/>
          <w:sz w:val="34"/>
          <w:szCs w:val="34"/>
          <w:rtl/>
        </w:rPr>
        <w:t>ً.</w:t>
      </w:r>
    </w:p>
    <w:p w14:paraId="7C49331E" w14:textId="0DC192B1" w:rsidR="00C43990" w:rsidRPr="00C43990" w:rsidRDefault="00C43990" w:rsidP="007512EE">
      <w:pPr>
        <w:pStyle w:val="a0"/>
        <w:bidi/>
        <w:spacing w:line="216" w:lineRule="auto"/>
        <w:rPr>
          <w:rFonts w:ascii="mylotus" w:hAnsi="mylotus"/>
          <w:sz w:val="34"/>
          <w:szCs w:val="34"/>
          <w:rtl/>
        </w:rPr>
      </w:pPr>
      <w:r>
        <w:rPr>
          <w:rFonts w:ascii="mylotus" w:hAnsi="mylotus"/>
          <w:sz w:val="34"/>
          <w:szCs w:val="34"/>
          <w:rtl/>
        </w:rPr>
        <w:t>وثانيهما</w:t>
      </w:r>
      <w:r w:rsidRPr="00C43990">
        <w:rPr>
          <w:rFonts w:ascii="mylotus" w:hAnsi="mylotus"/>
          <w:sz w:val="34"/>
          <w:szCs w:val="34"/>
          <w:rtl/>
        </w:rPr>
        <w:t>: ما هو الظاهر من تقرير كلماته قدس سره، في المحاضرات [ ج 2ص14] وفاقا لما في أجود التقريرات [ ج1ص 87- 88]</w:t>
      </w:r>
      <w:r w:rsidR="007512EE">
        <w:rPr>
          <w:rFonts w:ascii="mylotus" w:hAnsi="mylotus"/>
          <w:sz w:val="34"/>
          <w:szCs w:val="34"/>
          <w:rtl/>
        </w:rPr>
        <w:t xml:space="preserve"> </w:t>
      </w:r>
      <w:r w:rsidRPr="00C43990">
        <w:rPr>
          <w:rFonts w:ascii="mylotus" w:hAnsi="mylotus"/>
          <w:sz w:val="34"/>
          <w:szCs w:val="34"/>
          <w:rtl/>
        </w:rPr>
        <w:t>وبيانه: أنه إذا أحرز العقل النظري وجود نهي من قبل المولى ولم يكن في البين ترخيص في الفعل، فإن العقل العملي يقضي بضرورة السير على وفق النهي أداء لحق العبودية والرقية للمولى، وحكم العقل العملي بلزوم تنفيذ النهي هو نفسه الحرمة. فالحرمة ليست أمرا</w:t>
      </w:r>
      <w:r>
        <w:rPr>
          <w:rFonts w:ascii="mylotus" w:hAnsi="mylotus" w:hint="cs"/>
          <w:sz w:val="34"/>
          <w:szCs w:val="34"/>
          <w:rtl/>
        </w:rPr>
        <w:t>ً</w:t>
      </w:r>
      <w:r w:rsidRPr="00C43990">
        <w:rPr>
          <w:rFonts w:ascii="mylotus" w:hAnsi="mylotus"/>
          <w:sz w:val="34"/>
          <w:szCs w:val="34"/>
          <w:rtl/>
        </w:rPr>
        <w:t xml:space="preserve"> </w:t>
      </w:r>
      <w:proofErr w:type="spellStart"/>
      <w:r w:rsidRPr="00C43990">
        <w:rPr>
          <w:rFonts w:ascii="mylotus" w:hAnsi="mylotus"/>
          <w:sz w:val="34"/>
          <w:szCs w:val="34"/>
          <w:rtl/>
        </w:rPr>
        <w:t>مجعولاً</w:t>
      </w:r>
      <w:proofErr w:type="spellEnd"/>
      <w:r w:rsidRPr="00C43990">
        <w:rPr>
          <w:rFonts w:ascii="mylotus" w:hAnsi="mylotus"/>
          <w:sz w:val="34"/>
          <w:szCs w:val="34"/>
          <w:rtl/>
        </w:rPr>
        <w:t xml:space="preserve"> من </w:t>
      </w:r>
      <w:proofErr w:type="spellStart"/>
      <w:r w:rsidRPr="00C43990">
        <w:rPr>
          <w:rFonts w:ascii="mylotus" w:hAnsi="mylotus"/>
          <w:sz w:val="34"/>
          <w:szCs w:val="34"/>
          <w:rtl/>
        </w:rPr>
        <w:t>المجعولات</w:t>
      </w:r>
      <w:proofErr w:type="spellEnd"/>
      <w:r w:rsidRPr="00C43990">
        <w:rPr>
          <w:rFonts w:ascii="mylotus" w:hAnsi="mylotus"/>
          <w:sz w:val="34"/>
          <w:szCs w:val="34"/>
          <w:rtl/>
        </w:rPr>
        <w:t xml:space="preserve"> الشرعية كما يراه أصحاب المسلكين الأولين، بل الحرمة حكم من أحكام العقل العملي، الذي تعني لابدية تنفيذ ما صدر من المولى ما لم يكن ترخيص في الفعل، كما قال به </w:t>
      </w:r>
      <w:r w:rsidRPr="00C43990">
        <w:rPr>
          <w:rFonts w:ascii="mylotus" w:hAnsi="mylotus"/>
          <w:sz w:val="34"/>
          <w:szCs w:val="34"/>
          <w:rtl/>
        </w:rPr>
        <w:lastRenderedPageBreak/>
        <w:t>قدس سره في الوجوب من كونه عبارة عن حكم العقل العملي بأن مقتضى العبودية والرقية تنفيذ الطلب الذي لم يقترن بالترخيص في الترك</w:t>
      </w:r>
      <w:r w:rsidRPr="00C43990">
        <w:rPr>
          <w:rFonts w:ascii="mylotus" w:hAnsi="mylotus"/>
          <w:sz w:val="34"/>
          <w:szCs w:val="34"/>
        </w:rPr>
        <w:t>.</w:t>
      </w:r>
    </w:p>
    <w:p w14:paraId="1F3B03A1" w14:textId="77777777" w:rsidR="00C43990" w:rsidRPr="00C43990" w:rsidRDefault="00C43990" w:rsidP="007512EE">
      <w:pPr>
        <w:pStyle w:val="a0"/>
        <w:bidi/>
        <w:spacing w:line="216" w:lineRule="auto"/>
        <w:rPr>
          <w:rFonts w:ascii="mylotus" w:hAnsi="mylotus"/>
          <w:sz w:val="34"/>
          <w:szCs w:val="34"/>
          <w:rtl/>
        </w:rPr>
      </w:pPr>
      <w:r w:rsidRPr="00C43990">
        <w:rPr>
          <w:rFonts w:ascii="mylotus" w:hAnsi="mylotus"/>
          <w:sz w:val="34"/>
          <w:szCs w:val="34"/>
          <w:rtl/>
        </w:rPr>
        <w:t xml:space="preserve">ولذلك لا مجال لجريان الأصول العملية في نفس الحرمة والوجوب كالاستصحاب والبراءة؛ لأن الوجوب والحرمة ليس </w:t>
      </w:r>
      <w:proofErr w:type="spellStart"/>
      <w:r w:rsidRPr="00C43990">
        <w:rPr>
          <w:rFonts w:ascii="mylotus" w:hAnsi="mylotus"/>
          <w:sz w:val="34"/>
          <w:szCs w:val="34"/>
          <w:rtl/>
        </w:rPr>
        <w:t>مجعولاً</w:t>
      </w:r>
      <w:proofErr w:type="spellEnd"/>
      <w:r w:rsidRPr="00C43990">
        <w:rPr>
          <w:rFonts w:ascii="mylotus" w:hAnsi="mylotus"/>
          <w:sz w:val="34"/>
          <w:szCs w:val="34"/>
          <w:rtl/>
        </w:rPr>
        <w:t xml:space="preserve"> شرعياً كي يكون مجرى للاستصحاب، وليس مما بيد الشارع وضعه كي يكون بيد الشارع رفعه واقعاً بدليل لا ضرر، أو لا حرج، أو ظاهراً بدليل البراءة، وإنما يجري الأصل العملي في موضوعه لا في نفس الوجوب والحرمة</w:t>
      </w:r>
      <w:r w:rsidRPr="00C43990">
        <w:rPr>
          <w:rFonts w:ascii="mylotus" w:hAnsi="mylotus"/>
          <w:sz w:val="34"/>
          <w:szCs w:val="34"/>
        </w:rPr>
        <w:t>.</w:t>
      </w:r>
    </w:p>
    <w:p w14:paraId="36070989" w14:textId="77777777" w:rsidR="00C43990" w:rsidRPr="00C43990" w:rsidRDefault="00C43990" w:rsidP="007512EE">
      <w:pPr>
        <w:pStyle w:val="a0"/>
        <w:bidi/>
        <w:spacing w:line="216" w:lineRule="auto"/>
        <w:rPr>
          <w:rFonts w:ascii="mylotus" w:hAnsi="mylotus"/>
          <w:sz w:val="34"/>
          <w:szCs w:val="34"/>
          <w:rtl/>
        </w:rPr>
      </w:pPr>
      <w:r w:rsidRPr="00C43990">
        <w:rPr>
          <w:rFonts w:ascii="mylotus" w:hAnsi="mylotus"/>
          <w:sz w:val="34"/>
          <w:szCs w:val="34"/>
          <w:rtl/>
        </w:rPr>
        <w:t>والثمرة العملية المترتبة على هذا المسلك: أنه لو وقع الشك في ثبوت ترخيص منفصل من قبل المولى في الفعل فما هي الوظيفة العملية عند الشك في الترخيص؟</w:t>
      </w:r>
    </w:p>
    <w:p w14:paraId="4705A2A3" w14:textId="77777777" w:rsidR="00C43990" w:rsidRPr="00C43990" w:rsidRDefault="00C43990" w:rsidP="007512EE">
      <w:pPr>
        <w:pStyle w:val="a0"/>
        <w:bidi/>
        <w:spacing w:line="216" w:lineRule="auto"/>
        <w:rPr>
          <w:rFonts w:ascii="mylotus" w:hAnsi="mylotus"/>
          <w:sz w:val="34"/>
          <w:szCs w:val="34"/>
          <w:rtl/>
        </w:rPr>
      </w:pPr>
      <w:r w:rsidRPr="00C43990">
        <w:rPr>
          <w:rFonts w:ascii="mylotus" w:hAnsi="mylotus"/>
          <w:sz w:val="34"/>
          <w:szCs w:val="34"/>
          <w:rtl/>
        </w:rPr>
        <w:t>فعلى المسلكين الأولين من أن الحرمة بالظهور الحاقي للنهي أو أن الحرمة مقتضى الإطلاق للنهي، تثبت الحرمة في المقام، فإن النافي لاحتمال القرينة المنفصلة هو الظهور الحاقي أو أصالة الإطلاق. وأما على مبنى كون الحرمة حكماً عقلياً منوطاً بعدم الترخيص، فهل المعلق عليه حكم العقل هو عدم الترخيص واقعاً أو عدم إحراز الترخيص؟</w:t>
      </w:r>
    </w:p>
    <w:p w14:paraId="3E3D2733" w14:textId="77777777" w:rsidR="00C43990" w:rsidRPr="00C43990" w:rsidRDefault="00C43990" w:rsidP="007512EE">
      <w:pPr>
        <w:pStyle w:val="a0"/>
        <w:bidi/>
        <w:spacing w:line="216" w:lineRule="auto"/>
        <w:rPr>
          <w:rFonts w:ascii="mylotus" w:hAnsi="mylotus"/>
          <w:sz w:val="34"/>
          <w:szCs w:val="34"/>
          <w:rtl/>
        </w:rPr>
      </w:pPr>
      <w:r w:rsidRPr="00C43990">
        <w:rPr>
          <w:rFonts w:ascii="mylotus" w:hAnsi="mylotus"/>
          <w:sz w:val="34"/>
          <w:szCs w:val="34"/>
          <w:rtl/>
        </w:rPr>
        <w:t>فإن كان المعلق عليه عدم إحراز الترخيص أي: يكفي في حكم العقل باللزوم أن لا يحرز ترخيص، فمقتضاه عدم تصور فرض للشك في الوجوب أو الحرمة، لأن الترخيص إما محرز فلا لزوم عقلاً، أو غير محرز فالتنفيذ للأمر أو النهي لازم حتماً، وثبوت اللزوم عند الشك في الترخيص بدليل منفصل وإن كان موافقاً للمسلكين السابقين -في منشأ اللزوم- إلا أن لازم هذا المبنى كون الوجوب حكماً عقلياً ظاهرياً منوطاً بعدم إحراز الترخيص وعدم وجود حكم واقعي في حق الجاهل والعالم يعبر عنه بالوجوب والحرمة، وهو مصادم للمرتكزات المتشرعية</w:t>
      </w:r>
      <w:r w:rsidRPr="00C43990">
        <w:rPr>
          <w:rFonts w:ascii="mylotus" w:hAnsi="mylotus"/>
          <w:sz w:val="34"/>
          <w:szCs w:val="34"/>
        </w:rPr>
        <w:t>.</w:t>
      </w:r>
    </w:p>
    <w:p w14:paraId="4B159D27" w14:textId="77777777" w:rsidR="00C43990" w:rsidRPr="00C43990" w:rsidRDefault="00C43990" w:rsidP="007512EE">
      <w:pPr>
        <w:pStyle w:val="a0"/>
        <w:bidi/>
        <w:spacing w:line="216" w:lineRule="auto"/>
        <w:rPr>
          <w:rFonts w:ascii="mylotus" w:hAnsi="mylotus"/>
          <w:sz w:val="34"/>
          <w:szCs w:val="34"/>
          <w:rtl/>
        </w:rPr>
      </w:pPr>
      <w:r w:rsidRPr="00C43990">
        <w:rPr>
          <w:rFonts w:ascii="mylotus" w:hAnsi="mylotus"/>
          <w:sz w:val="34"/>
          <w:szCs w:val="34"/>
          <w:rtl/>
        </w:rPr>
        <w:t>وإن كان المعلق عليه عدم الترخيص واقعاً، فإن قلنا: بأن الأصل في الأشياء هو الرخصة، وحيث ثبتت الرخصة في الشريعة وشك في الترخيص جرى استصحاب الترخيص، ومقتضى استصحاب الترخيص عدم حكم العقل باللزوم بمعنى أن الاستصحاب وارد على حكم العقل رافع لموضوعه، لأنه معلق على عدم الترخيص وقد ثبت الترخيص بالاستصحاب</w:t>
      </w:r>
      <w:r w:rsidRPr="00C43990">
        <w:rPr>
          <w:rFonts w:ascii="mylotus" w:hAnsi="mylotus"/>
          <w:sz w:val="34"/>
          <w:szCs w:val="34"/>
        </w:rPr>
        <w:t>.</w:t>
      </w:r>
    </w:p>
    <w:p w14:paraId="173AC1E7" w14:textId="0F8FF702" w:rsidR="00C43990" w:rsidRPr="00C43990" w:rsidRDefault="00C43990" w:rsidP="007512EE">
      <w:pPr>
        <w:pStyle w:val="a0"/>
        <w:bidi/>
        <w:spacing w:line="216" w:lineRule="auto"/>
        <w:rPr>
          <w:rFonts w:ascii="mylotus" w:hAnsi="mylotus"/>
          <w:sz w:val="34"/>
          <w:szCs w:val="34"/>
          <w:rtl/>
        </w:rPr>
      </w:pPr>
      <w:r w:rsidRPr="00C43990">
        <w:rPr>
          <w:rFonts w:ascii="mylotus" w:hAnsi="mylotus"/>
          <w:sz w:val="34"/>
          <w:szCs w:val="34"/>
          <w:rtl/>
        </w:rPr>
        <w:t>وإن كان المعلق عليه عدم الترخيص الخاص بالمورد فاستصحاب عدم الترخيص العام -مفاد ليس التامة- لا يثبت عدم الترخيص في المورد -مفاد ليس الناقصة</w:t>
      </w:r>
      <w:r>
        <w:rPr>
          <w:rFonts w:ascii="mylotus" w:hAnsi="mylotus" w:hint="cs"/>
          <w:sz w:val="34"/>
          <w:szCs w:val="34"/>
          <w:rtl/>
        </w:rPr>
        <w:t>-.</w:t>
      </w:r>
    </w:p>
    <w:p w14:paraId="442D8180" w14:textId="77777777" w:rsidR="00C43990" w:rsidRPr="00C43990" w:rsidRDefault="00C43990" w:rsidP="007512EE">
      <w:pPr>
        <w:pStyle w:val="a0"/>
        <w:bidi/>
        <w:spacing w:line="216" w:lineRule="auto"/>
        <w:rPr>
          <w:rFonts w:ascii="mylotus" w:hAnsi="mylotus"/>
          <w:sz w:val="34"/>
          <w:szCs w:val="34"/>
          <w:rtl/>
        </w:rPr>
      </w:pPr>
      <w:r w:rsidRPr="00C43990">
        <w:rPr>
          <w:rFonts w:ascii="mylotus" w:hAnsi="mylotus"/>
          <w:sz w:val="34"/>
          <w:szCs w:val="34"/>
          <w:rtl/>
        </w:rPr>
        <w:lastRenderedPageBreak/>
        <w:t>وإن قلنا: إن الأحكام -سواء الإلزامية أو الترخيصية، والتكليفية والوضعية- مبنية على التدرج في البيان، فلم يُحرز ترخيص في أول الشريعة كي يجري استصحابه، فالجاري استصحاب عدم صدور الترخيص في مورد الأمر، ولا تصل النوبة مع جريانه لأصالة الحل، وبه تنقّح موضوع حكم العقل باللزوم. ولو لم يجرِ استصحاب عدم الترخيص تصل النوبة للبراءة أو أصالة الحل</w:t>
      </w:r>
      <w:r w:rsidRPr="00C43990">
        <w:rPr>
          <w:rFonts w:ascii="mylotus" w:hAnsi="mylotus"/>
          <w:sz w:val="34"/>
          <w:szCs w:val="34"/>
        </w:rPr>
        <w:t>.</w:t>
      </w:r>
    </w:p>
    <w:p w14:paraId="20CDE963" w14:textId="77777777" w:rsidR="00C43990" w:rsidRPr="00C43990" w:rsidRDefault="00C43990" w:rsidP="007512EE">
      <w:pPr>
        <w:pStyle w:val="a0"/>
        <w:bidi/>
        <w:spacing w:line="216" w:lineRule="auto"/>
        <w:rPr>
          <w:rFonts w:ascii="mylotus" w:hAnsi="mylotus"/>
          <w:sz w:val="34"/>
          <w:szCs w:val="34"/>
          <w:rtl/>
        </w:rPr>
      </w:pPr>
      <w:r w:rsidRPr="00C43990">
        <w:rPr>
          <w:rFonts w:ascii="mylotus" w:hAnsi="mylotus"/>
          <w:sz w:val="34"/>
          <w:szCs w:val="34"/>
          <w:rtl/>
        </w:rPr>
        <w:t xml:space="preserve">لكن جريان البراءة محل إشكال إذ لا يتصور موضوع لها، لأن مجراها إما النهي أو الترخيص أو حكم العقل، والجميع غير محتمل، أما النهي فلا وجه لجريانها فيه لكونه معلوماً، وأما الترخيص فهو وإن كان مشكوكاً، إلا أنه لا كلفة فيه كي يكون مجرى للبراءة، وأما حكم العقل فليس من </w:t>
      </w:r>
      <w:proofErr w:type="spellStart"/>
      <w:r w:rsidRPr="00C43990">
        <w:rPr>
          <w:rFonts w:ascii="mylotus" w:hAnsi="mylotus"/>
          <w:sz w:val="34"/>
          <w:szCs w:val="34"/>
          <w:rtl/>
        </w:rPr>
        <w:t>المجعولات</w:t>
      </w:r>
      <w:proofErr w:type="spellEnd"/>
      <w:r w:rsidRPr="00C43990">
        <w:rPr>
          <w:rFonts w:ascii="mylotus" w:hAnsi="mylotus"/>
          <w:sz w:val="34"/>
          <w:szCs w:val="34"/>
          <w:rtl/>
        </w:rPr>
        <w:t xml:space="preserve"> كي يتصور رفعه، إلا أن يقال: إن موضوع حكم العقل مجعول بسيط لا مركب، وهو تلك الحصة من النهي المقترن بعدم الترخيص واقعاً، وحيث إن للنهي حصتين: نهياً مع الترخيص، ونهياً مع عدم الترخيص، وحيث إن تلك الحصة من النهي -وهي النهي المقترن بعدم الترخيص واقعاً- مشكوكة فهي مجرى البراءة، وبجريانها فلا مورد لحكم العقل</w:t>
      </w:r>
      <w:r w:rsidRPr="00C43990">
        <w:rPr>
          <w:rFonts w:ascii="mylotus" w:hAnsi="mylotus"/>
          <w:sz w:val="34"/>
          <w:szCs w:val="34"/>
        </w:rPr>
        <w:t>.</w:t>
      </w:r>
    </w:p>
    <w:p w14:paraId="167F454C" w14:textId="77777777" w:rsidR="00C43990" w:rsidRPr="00C43990" w:rsidRDefault="00C43990" w:rsidP="007512EE">
      <w:pPr>
        <w:pStyle w:val="a0"/>
        <w:bidi/>
        <w:spacing w:line="216" w:lineRule="auto"/>
        <w:rPr>
          <w:rFonts w:ascii="mylotus" w:hAnsi="mylotus"/>
          <w:sz w:val="34"/>
          <w:szCs w:val="34"/>
          <w:rtl/>
        </w:rPr>
      </w:pPr>
      <w:r w:rsidRPr="00C43990">
        <w:rPr>
          <w:rFonts w:ascii="mylotus" w:hAnsi="mylotus"/>
          <w:sz w:val="34"/>
          <w:szCs w:val="34"/>
          <w:rtl/>
        </w:rPr>
        <w:t>هذا هو النحو الأول في تقريب المبنى وهو كون منشأ اللزوم حكم العقل</w:t>
      </w:r>
      <w:r w:rsidRPr="00C43990">
        <w:rPr>
          <w:rFonts w:ascii="mylotus" w:hAnsi="mylotus"/>
          <w:sz w:val="34"/>
          <w:szCs w:val="34"/>
        </w:rPr>
        <w:t>.</w:t>
      </w:r>
    </w:p>
    <w:p w14:paraId="2B922F48" w14:textId="7EB67ED0" w:rsidR="00C43990" w:rsidRPr="00C43990" w:rsidRDefault="00C43990" w:rsidP="007512EE">
      <w:pPr>
        <w:pStyle w:val="a0"/>
        <w:bidi/>
        <w:spacing w:line="216" w:lineRule="auto"/>
        <w:rPr>
          <w:rFonts w:ascii="mylotus" w:hAnsi="mylotus"/>
          <w:sz w:val="34"/>
          <w:szCs w:val="34"/>
          <w:rtl/>
        </w:rPr>
      </w:pPr>
      <w:r w:rsidRPr="00C43990">
        <w:rPr>
          <w:rFonts w:ascii="mylotus" w:hAnsi="mylotus"/>
          <w:sz w:val="34"/>
          <w:szCs w:val="34"/>
          <w:rtl/>
        </w:rPr>
        <w:t>إلا أنه أورد على المبنى المذكور بأن موضوع حكم العقل بلزوم ا</w:t>
      </w:r>
      <w:r>
        <w:rPr>
          <w:rFonts w:ascii="mylotus" w:hAnsi="mylotus"/>
          <w:sz w:val="34"/>
          <w:szCs w:val="34"/>
          <w:rtl/>
        </w:rPr>
        <w:t>لطاعة للمولى الحقيقي فضلا عن ال</w:t>
      </w:r>
      <w:r>
        <w:rPr>
          <w:rFonts w:ascii="mylotus" w:hAnsi="mylotus" w:hint="cs"/>
          <w:sz w:val="34"/>
          <w:szCs w:val="34"/>
          <w:rtl/>
        </w:rPr>
        <w:t>ا</w:t>
      </w:r>
      <w:r w:rsidRPr="00C43990">
        <w:rPr>
          <w:rFonts w:ascii="mylotus" w:hAnsi="mylotus"/>
          <w:sz w:val="34"/>
          <w:szCs w:val="34"/>
          <w:rtl/>
        </w:rPr>
        <w:t>عتباري كون طلب المولى ناشئاً عن غرض لزومي، أو كاشفا عن إرادة للفعل مع عدم الرضا في تركه</w:t>
      </w:r>
      <w:r w:rsidR="007512EE">
        <w:rPr>
          <w:rFonts w:ascii="mylotus" w:hAnsi="mylotus"/>
          <w:sz w:val="34"/>
          <w:szCs w:val="34"/>
          <w:rtl/>
        </w:rPr>
        <w:t xml:space="preserve">، </w:t>
      </w:r>
      <w:r w:rsidRPr="00C43990">
        <w:rPr>
          <w:rFonts w:ascii="mylotus" w:hAnsi="mylotus"/>
          <w:sz w:val="34"/>
          <w:szCs w:val="34"/>
          <w:rtl/>
        </w:rPr>
        <w:t xml:space="preserve">ولذلك لو علم أن الغرض ليس </w:t>
      </w:r>
      <w:proofErr w:type="spellStart"/>
      <w:r w:rsidRPr="00C43990">
        <w:rPr>
          <w:rFonts w:ascii="mylotus" w:hAnsi="mylotus"/>
          <w:sz w:val="34"/>
          <w:szCs w:val="34"/>
          <w:rtl/>
        </w:rPr>
        <w:t>لزومياً</w:t>
      </w:r>
      <w:proofErr w:type="spellEnd"/>
      <w:r w:rsidRPr="00C43990">
        <w:rPr>
          <w:rFonts w:ascii="mylotus" w:hAnsi="mylotus"/>
          <w:sz w:val="34"/>
          <w:szCs w:val="34"/>
          <w:rtl/>
        </w:rPr>
        <w:t xml:space="preserve"> أ</w:t>
      </w:r>
      <w:r>
        <w:rPr>
          <w:rFonts w:ascii="mylotus" w:hAnsi="mylotus"/>
          <w:sz w:val="34"/>
          <w:szCs w:val="34"/>
          <w:rtl/>
        </w:rPr>
        <w:t xml:space="preserve">و لا إرادة لزومية فإن مجرد </w:t>
      </w:r>
      <w:r>
        <w:rPr>
          <w:rFonts w:ascii="mylotus" w:hAnsi="mylotus" w:hint="cs"/>
          <w:sz w:val="34"/>
          <w:szCs w:val="34"/>
          <w:rtl/>
        </w:rPr>
        <w:t>ا</w:t>
      </w:r>
      <w:r w:rsidRPr="00C43990">
        <w:rPr>
          <w:rFonts w:ascii="mylotus" w:hAnsi="mylotus"/>
          <w:sz w:val="34"/>
          <w:szCs w:val="34"/>
          <w:rtl/>
        </w:rPr>
        <w:t>عتبار الفعل على الذمة مع عدم صدور الترخيص من المولى في الفعل لا يكفي لحكم العقل بلزوم التنفيذ، ومع الشك في ثبوت غرض لزومي أو</w:t>
      </w:r>
      <w:r>
        <w:rPr>
          <w:rFonts w:ascii="mylotus" w:hAnsi="mylotus" w:hint="cs"/>
          <w:sz w:val="34"/>
          <w:szCs w:val="34"/>
          <w:rtl/>
        </w:rPr>
        <w:t xml:space="preserve"> </w:t>
      </w:r>
      <w:r w:rsidRPr="00C43990">
        <w:rPr>
          <w:rFonts w:ascii="mylotus" w:hAnsi="mylotus"/>
          <w:sz w:val="34"/>
          <w:szCs w:val="34"/>
          <w:rtl/>
        </w:rPr>
        <w:t>إرادة لزومية للمولى في الم</w:t>
      </w:r>
      <w:r>
        <w:rPr>
          <w:rFonts w:ascii="mylotus" w:hAnsi="mylotus"/>
          <w:sz w:val="34"/>
          <w:szCs w:val="34"/>
          <w:rtl/>
        </w:rPr>
        <w:t xml:space="preserve">ورد تجري البراءة عنه أو فقل عن </w:t>
      </w:r>
      <w:r>
        <w:rPr>
          <w:rFonts w:ascii="mylotus" w:hAnsi="mylotus" w:hint="cs"/>
          <w:sz w:val="34"/>
          <w:szCs w:val="34"/>
          <w:rtl/>
        </w:rPr>
        <w:t>ا</w:t>
      </w:r>
      <w:r w:rsidRPr="00C43990">
        <w:rPr>
          <w:rFonts w:ascii="mylotus" w:hAnsi="mylotus"/>
          <w:sz w:val="34"/>
          <w:szCs w:val="34"/>
          <w:rtl/>
        </w:rPr>
        <w:t>هتمام المولى بالغرض أو بالفعل</w:t>
      </w:r>
      <w:r w:rsidR="007512EE">
        <w:rPr>
          <w:rFonts w:ascii="mylotus" w:hAnsi="mylotus"/>
          <w:sz w:val="34"/>
          <w:szCs w:val="34"/>
          <w:rtl/>
        </w:rPr>
        <w:t xml:space="preserve"> </w:t>
      </w:r>
      <w:r w:rsidRPr="00C43990">
        <w:rPr>
          <w:rFonts w:ascii="mylotus" w:hAnsi="mylotus"/>
          <w:sz w:val="34"/>
          <w:szCs w:val="34"/>
          <w:rtl/>
        </w:rPr>
        <w:t>لا عن حكم العقل</w:t>
      </w:r>
      <w:r w:rsidRPr="00C43990">
        <w:rPr>
          <w:rFonts w:ascii="mylotus" w:hAnsi="mylotus"/>
          <w:sz w:val="34"/>
          <w:szCs w:val="34"/>
        </w:rPr>
        <w:t>.</w:t>
      </w:r>
    </w:p>
    <w:p w14:paraId="222C9940" w14:textId="77777777" w:rsidR="00C43990" w:rsidRPr="00C43990" w:rsidRDefault="00C43990" w:rsidP="007512EE">
      <w:pPr>
        <w:pStyle w:val="a0"/>
        <w:bidi/>
        <w:spacing w:line="216" w:lineRule="auto"/>
        <w:rPr>
          <w:rFonts w:ascii="mylotus" w:hAnsi="mylotus"/>
          <w:sz w:val="34"/>
          <w:szCs w:val="34"/>
          <w:rtl/>
        </w:rPr>
      </w:pPr>
      <w:r w:rsidRPr="00C43990">
        <w:rPr>
          <w:rFonts w:ascii="mylotus" w:hAnsi="mylotus"/>
          <w:b/>
          <w:bCs/>
          <w:sz w:val="34"/>
          <w:szCs w:val="34"/>
          <w:rtl/>
        </w:rPr>
        <w:t>النحو الثاني:</w:t>
      </w:r>
      <w:r w:rsidRPr="00C43990">
        <w:rPr>
          <w:rFonts w:ascii="mylotus" w:hAnsi="mylotus"/>
          <w:sz w:val="34"/>
          <w:szCs w:val="34"/>
          <w:rtl/>
        </w:rPr>
        <w:t xml:space="preserve"> أن منشأ اللزوم هو بناء العقلاء، وليس حكماً من أحكام العقل الفطري، والوجه في العدول عن حكم العقل لبناء العقلاء أن من مرتكزات العقلاء بناؤهم على لزوم إطاعة المولى العرفي الحكيم، مع أنه لا يوجد في مورده حكم من أحكام العقل الفطري بلزوم الإطاعة، لاختصاص ذلك بالمشرع الأقدس</w:t>
      </w:r>
      <w:r w:rsidRPr="00C43990">
        <w:rPr>
          <w:rFonts w:ascii="mylotus" w:hAnsi="mylotus"/>
          <w:sz w:val="34"/>
          <w:szCs w:val="34"/>
        </w:rPr>
        <w:t>.</w:t>
      </w:r>
    </w:p>
    <w:p w14:paraId="23FFF9A7" w14:textId="5BD12B1B" w:rsidR="00C43990" w:rsidRPr="00C43990" w:rsidRDefault="00C43990" w:rsidP="007512EE">
      <w:pPr>
        <w:pStyle w:val="a0"/>
        <w:bidi/>
        <w:spacing w:line="216" w:lineRule="auto"/>
        <w:rPr>
          <w:rFonts w:ascii="mylotus" w:hAnsi="mylotus"/>
          <w:sz w:val="34"/>
          <w:szCs w:val="34"/>
          <w:rtl/>
        </w:rPr>
      </w:pPr>
      <w:r w:rsidRPr="00C43990">
        <w:rPr>
          <w:rFonts w:ascii="mylotus" w:hAnsi="mylotus"/>
          <w:sz w:val="34"/>
          <w:szCs w:val="34"/>
          <w:rtl/>
        </w:rPr>
        <w:t>والفارق العملي بين كون دعوى منشأ اللزوم حكم العقل و دع</w:t>
      </w:r>
      <w:bookmarkStart w:id="0" w:name="_GoBack"/>
      <w:bookmarkEnd w:id="0"/>
      <w:r w:rsidRPr="00C43990">
        <w:rPr>
          <w:rFonts w:ascii="mylotus" w:hAnsi="mylotus"/>
          <w:sz w:val="34"/>
          <w:szCs w:val="34"/>
          <w:rtl/>
        </w:rPr>
        <w:t>وى بناء العقلاء أن موضوع بناء العقلاء وصول الأمر أو النهي مع عدم وصول ترخيص واضح في الخلاف، فإذا شك في وجود الترخيص المتصل</w:t>
      </w:r>
      <w:r w:rsidR="007512EE">
        <w:rPr>
          <w:rFonts w:ascii="mylotus" w:hAnsi="mylotus"/>
          <w:sz w:val="34"/>
          <w:szCs w:val="34"/>
          <w:rtl/>
        </w:rPr>
        <w:t xml:space="preserve"> </w:t>
      </w:r>
      <w:r w:rsidRPr="00C43990">
        <w:rPr>
          <w:rFonts w:ascii="mylotus" w:hAnsi="mylotus"/>
          <w:sz w:val="34"/>
          <w:szCs w:val="34"/>
          <w:rtl/>
        </w:rPr>
        <w:t xml:space="preserve">وكان احتمال صدوره عقلائياً لكون الخطاب المتضمن للأمر أو النهي مجملاً، أو </w:t>
      </w:r>
      <w:r w:rsidRPr="00C43990">
        <w:rPr>
          <w:rFonts w:ascii="mylotus" w:hAnsi="mylotus"/>
          <w:sz w:val="34"/>
          <w:szCs w:val="34"/>
          <w:rtl/>
        </w:rPr>
        <w:lastRenderedPageBreak/>
        <w:t>كان منشأ احتمال الترخيص اختلاف النسخ، أو كان دليلاً لبياً، فإنه لا يبني العقلاء على الإلزام وضرورة تنفيذ النهي</w:t>
      </w:r>
      <w:r w:rsidRPr="00C43990">
        <w:rPr>
          <w:rFonts w:ascii="mylotus" w:hAnsi="mylotus"/>
          <w:sz w:val="34"/>
          <w:szCs w:val="34"/>
        </w:rPr>
        <w:t>.</w:t>
      </w:r>
    </w:p>
    <w:p w14:paraId="2E19477F" w14:textId="1CC76471" w:rsidR="00C43990" w:rsidRPr="00C43990" w:rsidRDefault="00C43990" w:rsidP="007512EE">
      <w:pPr>
        <w:pStyle w:val="a0"/>
        <w:bidi/>
        <w:spacing w:line="216" w:lineRule="auto"/>
        <w:rPr>
          <w:rFonts w:ascii="mylotus" w:hAnsi="mylotus"/>
          <w:sz w:val="34"/>
          <w:szCs w:val="34"/>
          <w:rtl/>
        </w:rPr>
      </w:pPr>
      <w:r w:rsidRPr="00C43990">
        <w:rPr>
          <w:rFonts w:ascii="mylotus" w:hAnsi="mylotus"/>
          <w:sz w:val="34"/>
          <w:szCs w:val="34"/>
          <w:rtl/>
        </w:rPr>
        <w:t>بينما مدعى كون اللزوم بحكم العقل هو قرار العقل باللزوم عند عدم إحراز الترخيص</w:t>
      </w:r>
      <w:r w:rsidR="007512EE">
        <w:rPr>
          <w:rFonts w:ascii="mylotus" w:hAnsi="mylotus"/>
          <w:sz w:val="34"/>
          <w:szCs w:val="34"/>
          <w:rtl/>
        </w:rPr>
        <w:t>.</w:t>
      </w:r>
    </w:p>
    <w:p w14:paraId="1AD8A616" w14:textId="4688B13D" w:rsidR="00C43990" w:rsidRPr="00C43990" w:rsidRDefault="00C43990" w:rsidP="007512EE">
      <w:pPr>
        <w:pStyle w:val="a0"/>
        <w:bidi/>
        <w:spacing w:line="216" w:lineRule="auto"/>
        <w:rPr>
          <w:rFonts w:ascii="mylotus" w:hAnsi="mylotus"/>
          <w:sz w:val="34"/>
          <w:szCs w:val="34"/>
          <w:rtl/>
        </w:rPr>
      </w:pPr>
      <w:r w:rsidRPr="00C43990">
        <w:rPr>
          <w:rFonts w:ascii="mylotus" w:hAnsi="mylotus"/>
          <w:sz w:val="34"/>
          <w:szCs w:val="34"/>
          <w:rtl/>
        </w:rPr>
        <w:t>والإيراد على النحو الثاني هو نفس الإيراد على النحو الأول، وذلك لأن بناء العقلاء على ضرورة التنفيذ</w:t>
      </w:r>
      <w:r w:rsidR="007512EE">
        <w:rPr>
          <w:rFonts w:ascii="mylotus" w:hAnsi="mylotus"/>
          <w:sz w:val="34"/>
          <w:szCs w:val="34"/>
          <w:rtl/>
        </w:rPr>
        <w:t xml:space="preserve"> </w:t>
      </w:r>
      <w:r w:rsidRPr="00C43990">
        <w:rPr>
          <w:rFonts w:ascii="mylotus" w:hAnsi="mylotus"/>
          <w:sz w:val="34"/>
          <w:szCs w:val="34"/>
          <w:rtl/>
        </w:rPr>
        <w:t>عند وجود النهي وعدم القرينة على الترخيص</w:t>
      </w:r>
      <w:r w:rsidR="007512EE">
        <w:rPr>
          <w:rFonts w:ascii="mylotus" w:hAnsi="mylotus"/>
          <w:sz w:val="34"/>
          <w:szCs w:val="34"/>
          <w:rtl/>
        </w:rPr>
        <w:t>،</w:t>
      </w:r>
      <w:r w:rsidRPr="00C43990">
        <w:rPr>
          <w:rFonts w:ascii="mylotus" w:hAnsi="mylotus"/>
          <w:sz w:val="34"/>
          <w:szCs w:val="34"/>
          <w:rtl/>
        </w:rPr>
        <w:t xml:space="preserve"> لا يتم لولا استكشاف أن هناك غرضاً </w:t>
      </w:r>
      <w:proofErr w:type="spellStart"/>
      <w:r w:rsidRPr="00C43990">
        <w:rPr>
          <w:rFonts w:ascii="mylotus" w:hAnsi="mylotus"/>
          <w:sz w:val="34"/>
          <w:szCs w:val="34"/>
          <w:rtl/>
        </w:rPr>
        <w:t>لزومياً</w:t>
      </w:r>
      <w:proofErr w:type="spellEnd"/>
      <w:r w:rsidRPr="00C43990">
        <w:rPr>
          <w:rFonts w:ascii="mylotus" w:hAnsi="mylotus"/>
          <w:sz w:val="34"/>
          <w:szCs w:val="34"/>
          <w:rtl/>
        </w:rPr>
        <w:t xml:space="preserve"> أو إرادة لزومية</w:t>
      </w:r>
      <w:r w:rsidR="007512EE">
        <w:rPr>
          <w:rFonts w:ascii="mylotus" w:hAnsi="mylotus"/>
          <w:sz w:val="34"/>
          <w:szCs w:val="34"/>
          <w:rtl/>
        </w:rPr>
        <w:t>.</w:t>
      </w:r>
      <w:r w:rsidRPr="00C43990">
        <w:rPr>
          <w:rFonts w:ascii="mylotus" w:hAnsi="mylotus"/>
          <w:sz w:val="34"/>
          <w:szCs w:val="34"/>
          <w:rtl/>
        </w:rPr>
        <w:t xml:space="preserve"> فإنه إذا اكتشف المكلف من الخطاب وجود اللزوم في رتبة سابقة</w:t>
      </w:r>
      <w:r w:rsidR="007512EE">
        <w:rPr>
          <w:rFonts w:ascii="mylotus" w:hAnsi="mylotus"/>
          <w:sz w:val="34"/>
          <w:szCs w:val="34"/>
          <w:rtl/>
        </w:rPr>
        <w:t xml:space="preserve"> </w:t>
      </w:r>
      <w:r w:rsidRPr="00C43990">
        <w:rPr>
          <w:rFonts w:ascii="mylotus" w:hAnsi="mylotus"/>
          <w:sz w:val="34"/>
          <w:szCs w:val="34"/>
          <w:rtl/>
        </w:rPr>
        <w:t>للمولى بني على ضرورة التنفيذ، وإلا فلا</w:t>
      </w:r>
      <w:r w:rsidRPr="00C43990">
        <w:rPr>
          <w:rFonts w:ascii="mylotus" w:hAnsi="mylotus"/>
          <w:sz w:val="34"/>
          <w:szCs w:val="34"/>
        </w:rPr>
        <w:t>.</w:t>
      </w:r>
    </w:p>
    <w:p w14:paraId="04685065" w14:textId="19249AF2" w:rsidR="00C43990" w:rsidRPr="00C43990" w:rsidRDefault="00C43990" w:rsidP="007512EE">
      <w:pPr>
        <w:pStyle w:val="a0"/>
        <w:bidi/>
        <w:spacing w:line="216" w:lineRule="auto"/>
        <w:rPr>
          <w:rFonts w:ascii="mylotus" w:hAnsi="mylotus"/>
          <w:sz w:val="34"/>
          <w:szCs w:val="34"/>
          <w:rtl/>
        </w:rPr>
      </w:pPr>
      <w:r w:rsidRPr="00C43990">
        <w:rPr>
          <w:rFonts w:ascii="mylotus" w:hAnsi="mylotus"/>
          <w:sz w:val="34"/>
          <w:szCs w:val="34"/>
          <w:rtl/>
        </w:rPr>
        <w:t>فالمناط كل المناط على إدراك الاهتمام المولوي اللزومي</w:t>
      </w:r>
      <w:r w:rsidR="007512EE">
        <w:rPr>
          <w:rFonts w:ascii="mylotus" w:hAnsi="mylotus"/>
          <w:sz w:val="34"/>
          <w:szCs w:val="34"/>
          <w:rtl/>
        </w:rPr>
        <w:t xml:space="preserve"> </w:t>
      </w:r>
      <w:r w:rsidRPr="00C43990">
        <w:rPr>
          <w:rFonts w:ascii="mylotus" w:hAnsi="mylotus"/>
          <w:sz w:val="34"/>
          <w:szCs w:val="34"/>
          <w:rtl/>
        </w:rPr>
        <w:t>وعدمه، والكاشف الوحيد عن ذلك إما الظهور الحاقي للنهي في الحرمة وهو المسلك الأول، أو إطلاق النهي وهو المسلك الثاني، فليس لهذا المسلك بكلا النحوين استقلال عن المسلكين الأولين</w:t>
      </w:r>
      <w:r w:rsidRPr="00C43990">
        <w:rPr>
          <w:rFonts w:ascii="mylotus" w:hAnsi="mylotus"/>
          <w:sz w:val="34"/>
          <w:szCs w:val="34"/>
        </w:rPr>
        <w:t>.</w:t>
      </w:r>
    </w:p>
    <w:p w14:paraId="30E0E139" w14:textId="77777777" w:rsidR="00C43990" w:rsidRPr="00C43990" w:rsidRDefault="00C43990" w:rsidP="007512EE">
      <w:pPr>
        <w:pStyle w:val="a0"/>
        <w:bidi/>
        <w:spacing w:line="216" w:lineRule="auto"/>
        <w:rPr>
          <w:rFonts w:ascii="mylotus" w:hAnsi="mylotus"/>
          <w:sz w:val="34"/>
          <w:szCs w:val="34"/>
          <w:rtl/>
        </w:rPr>
      </w:pPr>
      <w:r w:rsidRPr="00C43990">
        <w:rPr>
          <w:rFonts w:ascii="mylotus" w:hAnsi="mylotus"/>
          <w:b/>
          <w:bCs/>
          <w:sz w:val="34"/>
          <w:szCs w:val="34"/>
          <w:rtl/>
        </w:rPr>
        <w:t>المنشأ الرابع:</w:t>
      </w:r>
      <w:r w:rsidRPr="00C43990">
        <w:rPr>
          <w:rFonts w:ascii="mylotus" w:hAnsi="mylotus"/>
          <w:sz w:val="34"/>
          <w:szCs w:val="34"/>
          <w:rtl/>
        </w:rPr>
        <w:t xml:space="preserve"> ما بنى عليه السيد الأستاذ مد ظله الشريف من أن منشأ اللزوم في الأمر والنهي هو عنصر الوعيد، فإذا أمر المولى مثلاً بزيارة سيد الشهداء عليه السلام كما ورد في الرواية الشريفة: (إن زيارة قبر الحسين عليه السلام فريضة على كل مسلم يقر للحسين عليه السلام بالإمامة)، فإن الأمر لدى العقلاء ذو عنصرين: شكلي وهو البعث بداعي جعل الداعي بالإمكان، ومعنوي وهو الوعيد على الترك. أي: ما يفهمه العقلاء من قول المولى: (زر الحسين عليه السلام) يعني أنك إن لم تزر عاقبتك، فالبعث قد اندمج فيه الوعيد على الترك</w:t>
      </w:r>
      <w:r w:rsidRPr="00C43990">
        <w:rPr>
          <w:rFonts w:ascii="mylotus" w:hAnsi="mylotus"/>
          <w:sz w:val="34"/>
          <w:szCs w:val="34"/>
        </w:rPr>
        <w:t>.</w:t>
      </w:r>
    </w:p>
    <w:p w14:paraId="3E2D19D4" w14:textId="491FFD27" w:rsidR="00C43990" w:rsidRPr="00C43990" w:rsidRDefault="00C43990" w:rsidP="007512EE">
      <w:pPr>
        <w:pStyle w:val="a0"/>
        <w:bidi/>
        <w:spacing w:line="216" w:lineRule="auto"/>
        <w:rPr>
          <w:rFonts w:ascii="mylotus" w:hAnsi="mylotus"/>
          <w:sz w:val="34"/>
          <w:szCs w:val="34"/>
          <w:rtl/>
        </w:rPr>
      </w:pPr>
      <w:r w:rsidRPr="00C43990">
        <w:rPr>
          <w:rFonts w:ascii="mylotus" w:hAnsi="mylotus"/>
          <w:sz w:val="34"/>
          <w:szCs w:val="34"/>
          <w:rtl/>
        </w:rPr>
        <w:t>وكذلك النهي، فعندما يقول: (لا تكذب) فمرجعه إلى قوله: (فإن كذبت عاقبتك)، فالنهي (زجر اندمج فيه عنصر الوعيد على الفعل</w:t>
      </w:r>
      <w:r>
        <w:rPr>
          <w:rFonts w:ascii="mylotus" w:hAnsi="mylotus" w:hint="cs"/>
          <w:sz w:val="34"/>
          <w:szCs w:val="34"/>
          <w:rtl/>
        </w:rPr>
        <w:t>).</w:t>
      </w:r>
    </w:p>
    <w:p w14:paraId="6344B6DA" w14:textId="77777777" w:rsidR="00C43990" w:rsidRPr="00C43990" w:rsidRDefault="00C43990" w:rsidP="007512EE">
      <w:pPr>
        <w:pStyle w:val="a0"/>
        <w:bidi/>
        <w:spacing w:line="216" w:lineRule="auto"/>
        <w:rPr>
          <w:rFonts w:ascii="mylotus" w:hAnsi="mylotus"/>
          <w:sz w:val="34"/>
          <w:szCs w:val="34"/>
          <w:rtl/>
        </w:rPr>
      </w:pPr>
      <w:r w:rsidRPr="00C43990">
        <w:rPr>
          <w:rFonts w:ascii="mylotus" w:hAnsi="mylotus"/>
          <w:sz w:val="34"/>
          <w:szCs w:val="34"/>
          <w:rtl/>
        </w:rPr>
        <w:t>والفارق بين الأمر الوجوبي والندبي أن الأمر الوجوبي مما اندمج فيه الوعيد على الترك، والأمر الندبي مما اندمج فيه الوعد على الفعل</w:t>
      </w:r>
      <w:r w:rsidRPr="00C43990">
        <w:rPr>
          <w:rFonts w:ascii="mylotus" w:hAnsi="mylotus"/>
          <w:sz w:val="34"/>
          <w:szCs w:val="34"/>
        </w:rPr>
        <w:t>.</w:t>
      </w:r>
    </w:p>
    <w:p w14:paraId="5E27A50E" w14:textId="77777777" w:rsidR="00C43990" w:rsidRPr="00C43990" w:rsidRDefault="00C43990" w:rsidP="007512EE">
      <w:pPr>
        <w:pStyle w:val="a0"/>
        <w:bidi/>
        <w:spacing w:line="216" w:lineRule="auto"/>
        <w:rPr>
          <w:rFonts w:ascii="mylotus" w:hAnsi="mylotus"/>
          <w:sz w:val="34"/>
          <w:szCs w:val="34"/>
          <w:rtl/>
        </w:rPr>
      </w:pPr>
      <w:r w:rsidRPr="00C43990">
        <w:rPr>
          <w:rFonts w:ascii="mylotus" w:hAnsi="mylotus"/>
          <w:sz w:val="34"/>
          <w:szCs w:val="34"/>
          <w:rtl/>
        </w:rPr>
        <w:t xml:space="preserve">والفرق بين النهي التحريمي والنهي </w:t>
      </w:r>
      <w:proofErr w:type="spellStart"/>
      <w:r w:rsidRPr="00C43990">
        <w:rPr>
          <w:rFonts w:ascii="mylotus" w:hAnsi="mylotus"/>
          <w:sz w:val="34"/>
          <w:szCs w:val="34"/>
          <w:rtl/>
        </w:rPr>
        <w:t>الكراهتي</w:t>
      </w:r>
      <w:proofErr w:type="spellEnd"/>
      <w:r w:rsidRPr="00C43990">
        <w:rPr>
          <w:rFonts w:ascii="mylotus" w:hAnsi="mylotus"/>
          <w:sz w:val="34"/>
          <w:szCs w:val="34"/>
          <w:rtl/>
        </w:rPr>
        <w:t xml:space="preserve"> أن النهي التحريمي مما اندمج فيه الوعيد على الفعل، والنهي </w:t>
      </w:r>
      <w:proofErr w:type="spellStart"/>
      <w:r w:rsidRPr="00C43990">
        <w:rPr>
          <w:rFonts w:ascii="mylotus" w:hAnsi="mylotus"/>
          <w:sz w:val="34"/>
          <w:szCs w:val="34"/>
          <w:rtl/>
        </w:rPr>
        <w:t>الكراهتي</w:t>
      </w:r>
      <w:proofErr w:type="spellEnd"/>
      <w:r w:rsidRPr="00C43990">
        <w:rPr>
          <w:rFonts w:ascii="mylotus" w:hAnsi="mylotus"/>
          <w:sz w:val="34"/>
          <w:szCs w:val="34"/>
          <w:rtl/>
        </w:rPr>
        <w:t xml:space="preserve"> مما اندمج فيه الوعد على الترك</w:t>
      </w:r>
      <w:r w:rsidRPr="00C43990">
        <w:rPr>
          <w:rFonts w:ascii="mylotus" w:hAnsi="mylotus"/>
          <w:sz w:val="34"/>
          <w:szCs w:val="34"/>
        </w:rPr>
        <w:t>.</w:t>
      </w:r>
    </w:p>
    <w:p w14:paraId="31F3FE73" w14:textId="77777777" w:rsidR="00C43990" w:rsidRPr="00C43990" w:rsidRDefault="00C43990" w:rsidP="007512EE">
      <w:pPr>
        <w:pStyle w:val="a0"/>
        <w:bidi/>
        <w:spacing w:line="216" w:lineRule="auto"/>
        <w:rPr>
          <w:rFonts w:ascii="mylotus" w:hAnsi="mylotus"/>
          <w:sz w:val="34"/>
          <w:szCs w:val="34"/>
          <w:rtl/>
        </w:rPr>
      </w:pPr>
      <w:r w:rsidRPr="00C43990">
        <w:rPr>
          <w:rFonts w:ascii="mylotus" w:hAnsi="mylotus"/>
          <w:sz w:val="34"/>
          <w:szCs w:val="34"/>
          <w:rtl/>
        </w:rPr>
        <w:t xml:space="preserve">وإنما تحققت هذه التركيبة للحكم التكليفي من عنصر شكلي -وهو الطلب أو النهي- وعنصر معنوي -وهو الوعيد- بمرور زمن طويل؛ حيث كان العقلاء منذ أقدم عصور الأنبياء يقرنون الأمر بالوعيد حتى يستجيب المخاطب، ويقرنون النهي بالوعيد حتى يرتدع العبد، ونتيجة كثرة القرن بين </w:t>
      </w:r>
      <w:r w:rsidRPr="00C43990">
        <w:rPr>
          <w:rFonts w:ascii="mylotus" w:hAnsi="mylotus"/>
          <w:sz w:val="34"/>
          <w:szCs w:val="34"/>
          <w:rtl/>
        </w:rPr>
        <w:lastRenderedPageBreak/>
        <w:t>الأمر والنهي والوعيد تكونت هذه الحقيقة واندمج هذان العنصران في هيئة واحدة، بحيث متى تلقى العرف الأمر أو النهي انصرف الذهن العرفي إلى عنصر الوعيد، فهذا هو منشأ اللزوم</w:t>
      </w:r>
      <w:r w:rsidRPr="00C43990">
        <w:rPr>
          <w:rFonts w:ascii="mylotus" w:hAnsi="mylotus"/>
          <w:sz w:val="34"/>
          <w:szCs w:val="34"/>
        </w:rPr>
        <w:t>.</w:t>
      </w:r>
    </w:p>
    <w:p w14:paraId="78755EFC" w14:textId="77777777" w:rsidR="00C43990" w:rsidRPr="00C43990" w:rsidRDefault="00C43990" w:rsidP="007512EE">
      <w:pPr>
        <w:pStyle w:val="a0"/>
        <w:bidi/>
        <w:spacing w:line="216" w:lineRule="auto"/>
        <w:rPr>
          <w:rFonts w:ascii="mylotus" w:hAnsi="mylotus"/>
          <w:sz w:val="34"/>
          <w:szCs w:val="34"/>
          <w:rtl/>
        </w:rPr>
      </w:pPr>
      <w:r w:rsidRPr="00C43990">
        <w:rPr>
          <w:rFonts w:ascii="mylotus" w:hAnsi="mylotus"/>
          <w:sz w:val="34"/>
          <w:szCs w:val="34"/>
          <w:rtl/>
        </w:rPr>
        <w:t>والثمرة المترتبة على هذا المسلك هي المترتبة على مسلك الوضع والإطلاق</w:t>
      </w:r>
      <w:r w:rsidRPr="00C43990">
        <w:rPr>
          <w:rFonts w:ascii="mylotus" w:hAnsi="mylotus"/>
          <w:sz w:val="34"/>
          <w:szCs w:val="34"/>
        </w:rPr>
        <w:t>.</w:t>
      </w:r>
    </w:p>
    <w:p w14:paraId="49C9E840" w14:textId="0FBE3C2F" w:rsidR="00C43990" w:rsidRPr="00C43990" w:rsidRDefault="00C43990" w:rsidP="007512EE">
      <w:pPr>
        <w:pStyle w:val="a0"/>
        <w:bidi/>
        <w:spacing w:line="216" w:lineRule="auto"/>
        <w:rPr>
          <w:rFonts w:ascii="mylotus" w:hAnsi="mylotus"/>
          <w:sz w:val="34"/>
          <w:szCs w:val="34"/>
          <w:rtl/>
        </w:rPr>
      </w:pPr>
      <w:r w:rsidRPr="00C43990">
        <w:rPr>
          <w:rFonts w:ascii="mylotus" w:hAnsi="mylotus"/>
          <w:b/>
          <w:bCs/>
          <w:sz w:val="34"/>
          <w:szCs w:val="34"/>
          <w:rtl/>
        </w:rPr>
        <w:t>ولكن المسلك المذكور قد سبق التأمل فيه في بحث الأوامر،</w:t>
      </w:r>
      <w:r w:rsidRPr="00C43990">
        <w:rPr>
          <w:rFonts w:ascii="mylotus" w:hAnsi="mylotus"/>
          <w:sz w:val="34"/>
          <w:szCs w:val="34"/>
          <w:rtl/>
        </w:rPr>
        <w:t xml:space="preserve"> وحاصله: أنه لا ريب في ثبوت قسمين من التكليف لدى العرف والشرع لزومي وندبي تحريمي وكراهتي، وأن موضوع حكم العقل بضرورة التنفيذ للأمر أو ا</w:t>
      </w:r>
      <w:r>
        <w:rPr>
          <w:rFonts w:ascii="mylotus" w:hAnsi="mylotus"/>
          <w:sz w:val="34"/>
          <w:szCs w:val="34"/>
          <w:rtl/>
        </w:rPr>
        <w:t>لنهي كون متعلق التكليف موردا لل</w:t>
      </w:r>
      <w:r>
        <w:rPr>
          <w:rFonts w:ascii="mylotus" w:hAnsi="mylotus" w:hint="cs"/>
          <w:sz w:val="34"/>
          <w:szCs w:val="34"/>
          <w:rtl/>
        </w:rPr>
        <w:t>ا</w:t>
      </w:r>
      <w:r w:rsidRPr="00C43990">
        <w:rPr>
          <w:rFonts w:ascii="mylotus" w:hAnsi="mylotus"/>
          <w:sz w:val="34"/>
          <w:szCs w:val="34"/>
          <w:rtl/>
        </w:rPr>
        <w:t>هتمام اللزومي أي عدم الرضا بالترك من جهة من له أهلية الأمر والنهي</w:t>
      </w:r>
      <w:r w:rsidR="007512EE">
        <w:rPr>
          <w:rFonts w:ascii="mylotus" w:hAnsi="mylotus"/>
          <w:sz w:val="34"/>
          <w:szCs w:val="34"/>
          <w:rtl/>
        </w:rPr>
        <w:t>.</w:t>
      </w:r>
      <w:r w:rsidRPr="00C43990">
        <w:rPr>
          <w:rFonts w:ascii="mylotus" w:hAnsi="mylotus"/>
          <w:sz w:val="34"/>
          <w:szCs w:val="34"/>
          <w:rtl/>
        </w:rPr>
        <w:t xml:space="preserve"> وبناء على ذلك فما هو الدور الذي يتكفل به عنصر الوعيد على الترك أو الفعل -على فرض ثبوت الصغرى وهي اندماج الوعيد في البعث والزجر- هل هو دور إثباتي أو ثبوتي؟</w:t>
      </w:r>
    </w:p>
    <w:p w14:paraId="61DFBF15" w14:textId="6B600317" w:rsidR="00C43990" w:rsidRPr="00C43990" w:rsidRDefault="00C43990" w:rsidP="007512EE">
      <w:pPr>
        <w:pStyle w:val="a0"/>
        <w:bidi/>
        <w:spacing w:line="216" w:lineRule="auto"/>
        <w:rPr>
          <w:rFonts w:ascii="mylotus" w:hAnsi="mylotus"/>
          <w:sz w:val="34"/>
          <w:szCs w:val="34"/>
          <w:rtl/>
        </w:rPr>
      </w:pPr>
      <w:r w:rsidRPr="00C43990">
        <w:rPr>
          <w:rFonts w:ascii="mylotus" w:hAnsi="mylotus"/>
          <w:b/>
          <w:bCs/>
          <w:sz w:val="34"/>
          <w:szCs w:val="34"/>
          <w:rtl/>
        </w:rPr>
        <w:t>فإن قيل:</w:t>
      </w:r>
      <w:r w:rsidRPr="00C43990">
        <w:rPr>
          <w:rFonts w:ascii="mylotus" w:hAnsi="mylotus"/>
          <w:sz w:val="34"/>
          <w:szCs w:val="34"/>
          <w:rtl/>
        </w:rPr>
        <w:t xml:space="preserve"> إنه إثباتي أي: أ</w:t>
      </w:r>
      <w:r>
        <w:rPr>
          <w:rFonts w:ascii="mylotus" w:hAnsi="mylotus"/>
          <w:sz w:val="34"/>
          <w:szCs w:val="34"/>
          <w:rtl/>
        </w:rPr>
        <w:t>نه كاشف عن</w:t>
      </w:r>
      <w:r w:rsidR="007512EE">
        <w:rPr>
          <w:rFonts w:ascii="mylotus" w:hAnsi="mylotus"/>
          <w:sz w:val="34"/>
          <w:szCs w:val="34"/>
          <w:rtl/>
        </w:rPr>
        <w:t xml:space="preserve"> </w:t>
      </w:r>
      <w:r>
        <w:rPr>
          <w:rFonts w:ascii="mylotus" w:hAnsi="mylotus"/>
          <w:sz w:val="34"/>
          <w:szCs w:val="34"/>
          <w:rtl/>
        </w:rPr>
        <w:t>كون المتعلق مورد ال</w:t>
      </w:r>
      <w:r>
        <w:rPr>
          <w:rFonts w:ascii="mylotus" w:hAnsi="mylotus" w:hint="cs"/>
          <w:sz w:val="34"/>
          <w:szCs w:val="34"/>
          <w:rtl/>
        </w:rPr>
        <w:t>ا</w:t>
      </w:r>
      <w:r w:rsidRPr="00C43990">
        <w:rPr>
          <w:rFonts w:ascii="mylotus" w:hAnsi="mylotus"/>
          <w:sz w:val="34"/>
          <w:szCs w:val="34"/>
          <w:rtl/>
        </w:rPr>
        <w:t>هتمام اللزومي أي مما لا يرضى المولى بتركه -الذي هو موضوع حكم العقل بضرورة التنفيذ - فلا موضوعية له -وإن كان حاصلاً وجدانا</w:t>
      </w:r>
      <w:r w:rsidR="007512EE">
        <w:rPr>
          <w:rFonts w:ascii="mylotus" w:hAnsi="mylotus" w:hint="cs"/>
          <w:sz w:val="34"/>
          <w:szCs w:val="34"/>
          <w:rtl/>
        </w:rPr>
        <w:t>ً</w:t>
      </w:r>
      <w:r w:rsidRPr="00C43990">
        <w:rPr>
          <w:rFonts w:ascii="mylotus" w:hAnsi="mylotus"/>
          <w:sz w:val="34"/>
          <w:szCs w:val="34"/>
          <w:rtl/>
        </w:rPr>
        <w:t xml:space="preserve"> نت</w:t>
      </w:r>
      <w:r>
        <w:rPr>
          <w:rFonts w:ascii="mylotus" w:hAnsi="mylotus"/>
          <w:sz w:val="34"/>
          <w:szCs w:val="34"/>
          <w:rtl/>
        </w:rPr>
        <w:t>يجة كثرة القرن- مقابل اكتشاف ال</w:t>
      </w:r>
      <w:r>
        <w:rPr>
          <w:rFonts w:ascii="mylotus" w:hAnsi="mylotus" w:hint="cs"/>
          <w:sz w:val="34"/>
          <w:szCs w:val="34"/>
          <w:rtl/>
        </w:rPr>
        <w:t>ا</w:t>
      </w:r>
      <w:r w:rsidRPr="00C43990">
        <w:rPr>
          <w:rFonts w:ascii="mylotus" w:hAnsi="mylotus"/>
          <w:sz w:val="34"/>
          <w:szCs w:val="34"/>
          <w:rtl/>
        </w:rPr>
        <w:t>هتمام اللزومي</w:t>
      </w:r>
      <w:r w:rsidR="007512EE">
        <w:rPr>
          <w:rFonts w:ascii="mylotus" w:hAnsi="mylotus"/>
          <w:sz w:val="34"/>
          <w:szCs w:val="34"/>
          <w:rtl/>
        </w:rPr>
        <w:t xml:space="preserve"> </w:t>
      </w:r>
      <w:r w:rsidRPr="00C43990">
        <w:rPr>
          <w:rFonts w:ascii="mylotus" w:hAnsi="mylotus"/>
          <w:sz w:val="34"/>
          <w:szCs w:val="34"/>
          <w:rtl/>
        </w:rPr>
        <w:t>بالإطلاق مثلا على فرض انتفاء الوعيد</w:t>
      </w:r>
      <w:r w:rsidRPr="00C43990">
        <w:rPr>
          <w:rFonts w:ascii="mylotus" w:hAnsi="mylotus"/>
          <w:sz w:val="34"/>
          <w:szCs w:val="34"/>
        </w:rPr>
        <w:t>.</w:t>
      </w:r>
    </w:p>
    <w:p w14:paraId="5FB26EAE" w14:textId="062B9C14" w:rsidR="00C43990" w:rsidRPr="00C43990" w:rsidRDefault="00C43990" w:rsidP="007512EE">
      <w:pPr>
        <w:pStyle w:val="a0"/>
        <w:bidi/>
        <w:spacing w:line="216" w:lineRule="auto"/>
        <w:rPr>
          <w:rFonts w:ascii="mylotus" w:hAnsi="mylotus"/>
          <w:sz w:val="34"/>
          <w:szCs w:val="34"/>
          <w:rtl/>
        </w:rPr>
      </w:pPr>
      <w:r w:rsidRPr="00C43990">
        <w:rPr>
          <w:rFonts w:ascii="mylotus" w:hAnsi="mylotus"/>
          <w:b/>
          <w:bCs/>
          <w:sz w:val="34"/>
          <w:szCs w:val="34"/>
          <w:rtl/>
        </w:rPr>
        <w:t>وإن قيل:</w:t>
      </w:r>
      <w:r w:rsidRPr="00C43990">
        <w:rPr>
          <w:rFonts w:ascii="mylotus" w:hAnsi="mylotus"/>
          <w:sz w:val="34"/>
          <w:szCs w:val="34"/>
          <w:rtl/>
        </w:rPr>
        <w:t xml:space="preserve"> إنه ثبوتي، فهو إما دخيل في ماهية الوجوب واللزوم بحسب المرتكز العقلائي</w:t>
      </w:r>
      <w:r w:rsidR="007512EE">
        <w:rPr>
          <w:rFonts w:ascii="mylotus" w:hAnsi="mylotus"/>
          <w:sz w:val="34"/>
          <w:szCs w:val="34"/>
          <w:rtl/>
        </w:rPr>
        <w:t>،</w:t>
      </w:r>
      <w:r w:rsidRPr="00C43990">
        <w:rPr>
          <w:rFonts w:ascii="mylotus" w:hAnsi="mylotus"/>
          <w:sz w:val="34"/>
          <w:szCs w:val="34"/>
          <w:rtl/>
        </w:rPr>
        <w:t xml:space="preserve"> أو أنه دخيل عندهم</w:t>
      </w:r>
      <w:r w:rsidR="007512EE">
        <w:rPr>
          <w:rFonts w:ascii="mylotus" w:hAnsi="mylotus"/>
          <w:sz w:val="34"/>
          <w:szCs w:val="34"/>
          <w:rtl/>
        </w:rPr>
        <w:t xml:space="preserve"> </w:t>
      </w:r>
      <w:r w:rsidRPr="00C43990">
        <w:rPr>
          <w:rFonts w:ascii="mylotus" w:hAnsi="mylotus"/>
          <w:sz w:val="34"/>
          <w:szCs w:val="34"/>
          <w:rtl/>
        </w:rPr>
        <w:t>في فاعلية الحكم الوجوبي بعد المفروغية عنه ؟ فإن كان المدعى هو الأول أي: أن الملاك في حكم العقل بضرورة التنفيذ كون الحكم الصادر هو الوجوب</w:t>
      </w:r>
      <w:r w:rsidR="007512EE">
        <w:rPr>
          <w:rFonts w:ascii="mylotus" w:hAnsi="mylotus"/>
          <w:sz w:val="34"/>
          <w:szCs w:val="34"/>
          <w:rtl/>
        </w:rPr>
        <w:t>،</w:t>
      </w:r>
      <w:r w:rsidRPr="00C43990">
        <w:rPr>
          <w:rFonts w:ascii="mylotus" w:hAnsi="mylotus"/>
          <w:sz w:val="34"/>
          <w:szCs w:val="34"/>
          <w:rtl/>
        </w:rPr>
        <w:t xml:space="preserve"> والوجوب متقوم بعنصر الوعيد بما هو وعيد بغض النظر عن اكتشاف عدم الرضا بالترك</w:t>
      </w:r>
      <w:r w:rsidRPr="00C43990">
        <w:rPr>
          <w:rFonts w:ascii="mylotus" w:hAnsi="mylotus"/>
          <w:sz w:val="34"/>
          <w:szCs w:val="34"/>
        </w:rPr>
        <w:t>.</w:t>
      </w:r>
    </w:p>
    <w:p w14:paraId="5B4CF22F" w14:textId="64D5C16F" w:rsidR="00C43990" w:rsidRPr="00C43990" w:rsidRDefault="00C43990" w:rsidP="007512EE">
      <w:pPr>
        <w:pStyle w:val="a0"/>
        <w:bidi/>
        <w:spacing w:line="216" w:lineRule="auto"/>
        <w:rPr>
          <w:rFonts w:ascii="mylotus" w:hAnsi="mylotus"/>
          <w:sz w:val="34"/>
          <w:szCs w:val="34"/>
          <w:rtl/>
        </w:rPr>
      </w:pPr>
      <w:r w:rsidRPr="00C43990">
        <w:rPr>
          <w:rFonts w:ascii="mylotus" w:hAnsi="mylotus"/>
          <w:b/>
          <w:bCs/>
          <w:sz w:val="34"/>
          <w:szCs w:val="34"/>
          <w:rtl/>
        </w:rPr>
        <w:t>فيرد عليه:</w:t>
      </w:r>
      <w:r w:rsidRPr="00C43990">
        <w:rPr>
          <w:rFonts w:ascii="mylotus" w:hAnsi="mylotus"/>
          <w:sz w:val="34"/>
          <w:szCs w:val="34"/>
          <w:rtl/>
        </w:rPr>
        <w:t xml:space="preserve"> أن الوعيد ع</w:t>
      </w:r>
      <w:r w:rsidR="007512EE">
        <w:rPr>
          <w:rFonts w:ascii="mylotus" w:hAnsi="mylotus"/>
          <w:sz w:val="34"/>
          <w:szCs w:val="34"/>
          <w:rtl/>
        </w:rPr>
        <w:t>لى المخالفة ناشئ عقلا</w:t>
      </w:r>
      <w:r w:rsidR="007512EE">
        <w:rPr>
          <w:rFonts w:ascii="mylotus" w:hAnsi="mylotus" w:hint="cs"/>
          <w:sz w:val="34"/>
          <w:szCs w:val="34"/>
          <w:rtl/>
        </w:rPr>
        <w:t>ً</w:t>
      </w:r>
      <w:r w:rsidR="007512EE">
        <w:rPr>
          <w:rFonts w:ascii="mylotus" w:hAnsi="mylotus"/>
          <w:sz w:val="34"/>
          <w:szCs w:val="34"/>
          <w:rtl/>
        </w:rPr>
        <w:t xml:space="preserve"> عن كون ال</w:t>
      </w:r>
      <w:r w:rsidR="007512EE">
        <w:rPr>
          <w:rFonts w:ascii="mylotus" w:hAnsi="mylotus" w:hint="cs"/>
          <w:sz w:val="34"/>
          <w:szCs w:val="34"/>
          <w:rtl/>
        </w:rPr>
        <w:t>ا</w:t>
      </w:r>
      <w:r w:rsidRPr="00C43990">
        <w:rPr>
          <w:rFonts w:ascii="mylotus" w:hAnsi="mylotus"/>
          <w:sz w:val="34"/>
          <w:szCs w:val="34"/>
          <w:rtl/>
        </w:rPr>
        <w:t xml:space="preserve">هتمام </w:t>
      </w:r>
      <w:proofErr w:type="spellStart"/>
      <w:r w:rsidRPr="00C43990">
        <w:rPr>
          <w:rFonts w:ascii="mylotus" w:hAnsi="mylotus"/>
          <w:sz w:val="34"/>
          <w:szCs w:val="34"/>
          <w:rtl/>
        </w:rPr>
        <w:t>لزوميا</w:t>
      </w:r>
      <w:r w:rsidR="007512EE">
        <w:rPr>
          <w:rFonts w:ascii="mylotus" w:hAnsi="mylotus" w:hint="cs"/>
          <w:sz w:val="34"/>
          <w:szCs w:val="34"/>
          <w:rtl/>
        </w:rPr>
        <w:t>ً</w:t>
      </w:r>
      <w:proofErr w:type="spellEnd"/>
      <w:r w:rsidRPr="00C43990">
        <w:rPr>
          <w:rFonts w:ascii="mylotus" w:hAnsi="mylotus"/>
          <w:sz w:val="34"/>
          <w:szCs w:val="34"/>
          <w:rtl/>
        </w:rPr>
        <w:t xml:space="preserve"> لا أنه مقوم له</w:t>
      </w:r>
      <w:r w:rsidR="007512EE">
        <w:rPr>
          <w:rFonts w:ascii="mylotus" w:hAnsi="mylotus"/>
          <w:sz w:val="34"/>
          <w:szCs w:val="34"/>
          <w:rtl/>
        </w:rPr>
        <w:t>،</w:t>
      </w:r>
      <w:r w:rsidRPr="00C43990">
        <w:rPr>
          <w:rFonts w:ascii="mylotus" w:hAnsi="mylotus"/>
          <w:sz w:val="34"/>
          <w:szCs w:val="34"/>
          <w:rtl/>
        </w:rPr>
        <w:t xml:space="preserve"> إذ لولا الاهتمام اللزومي لم يكن مبرر عقلي ل</w:t>
      </w:r>
      <w:r w:rsidR="007512EE">
        <w:rPr>
          <w:rFonts w:ascii="mylotus" w:hAnsi="mylotus"/>
          <w:sz w:val="34"/>
          <w:szCs w:val="34"/>
          <w:rtl/>
        </w:rPr>
        <w:t>لوعيد، ولذلك لو غض النظر عن ال</w:t>
      </w:r>
      <w:r w:rsidR="007512EE">
        <w:rPr>
          <w:rFonts w:ascii="mylotus" w:hAnsi="mylotus" w:hint="cs"/>
          <w:sz w:val="34"/>
          <w:szCs w:val="34"/>
          <w:rtl/>
        </w:rPr>
        <w:t>ا</w:t>
      </w:r>
      <w:r w:rsidRPr="00C43990">
        <w:rPr>
          <w:rFonts w:ascii="mylotus" w:hAnsi="mylotus"/>
          <w:sz w:val="34"/>
          <w:szCs w:val="34"/>
          <w:rtl/>
        </w:rPr>
        <w:t>هتمام اللزومي من قبل من هو أهل لتنفيذ اهتمامه لكان إدراك العقل النظري عنصر الوعيد مجرد سبب لقضاء الفطرة بالعمل أو الترك بمناط دفع العقاب المحتمل، والتخلص من الوعيد لا بمناط حكم العقل بحق الطاعة للمولى أداء للعبودية والرقية، أو حكم العقل بضرورة التنفيذ لحكم من له أهلية التنفيذ كالمقنن الوضعي الحك</w:t>
      </w:r>
      <w:r w:rsidR="007512EE">
        <w:rPr>
          <w:rFonts w:ascii="mylotus" w:hAnsi="mylotus"/>
          <w:sz w:val="34"/>
          <w:szCs w:val="34"/>
          <w:rtl/>
        </w:rPr>
        <w:t>يم، وإن كان المدعى هو الثاني -</w:t>
      </w:r>
      <w:r w:rsidRPr="00C43990">
        <w:rPr>
          <w:rFonts w:ascii="mylotus" w:hAnsi="mylotus"/>
          <w:sz w:val="34"/>
          <w:szCs w:val="34"/>
          <w:rtl/>
        </w:rPr>
        <w:t>أي أنه دخيل في فاعلية الحكم وتأثيره لا أنه مقوم له</w:t>
      </w:r>
      <w:r w:rsidR="007512EE">
        <w:rPr>
          <w:rFonts w:ascii="mylotus" w:hAnsi="mylotus" w:hint="cs"/>
          <w:sz w:val="34"/>
          <w:szCs w:val="34"/>
          <w:rtl/>
        </w:rPr>
        <w:t>-</w:t>
      </w:r>
      <w:r w:rsidR="007512EE">
        <w:rPr>
          <w:rFonts w:ascii="mylotus" w:hAnsi="mylotus"/>
          <w:sz w:val="34"/>
          <w:szCs w:val="34"/>
          <w:rtl/>
        </w:rPr>
        <w:t xml:space="preserve"> </w:t>
      </w:r>
      <w:r w:rsidRPr="00C43990">
        <w:rPr>
          <w:rFonts w:ascii="mylotus" w:hAnsi="mylotus"/>
          <w:sz w:val="34"/>
          <w:szCs w:val="34"/>
          <w:rtl/>
        </w:rPr>
        <w:t>بلحاظ أن نوع المكلفين ممن لا</w:t>
      </w:r>
      <w:r w:rsidR="007512EE">
        <w:rPr>
          <w:rFonts w:ascii="mylotus" w:hAnsi="mylotus" w:hint="cs"/>
          <w:sz w:val="34"/>
          <w:szCs w:val="34"/>
          <w:rtl/>
        </w:rPr>
        <w:t xml:space="preserve"> </w:t>
      </w:r>
      <w:r w:rsidRPr="00C43990">
        <w:rPr>
          <w:rFonts w:ascii="mylotus" w:hAnsi="mylotus"/>
          <w:sz w:val="34"/>
          <w:szCs w:val="34"/>
          <w:rtl/>
        </w:rPr>
        <w:t>ينبعث ولا</w:t>
      </w:r>
      <w:r w:rsidR="007512EE">
        <w:rPr>
          <w:rFonts w:ascii="mylotus" w:hAnsi="mylotus" w:hint="cs"/>
          <w:sz w:val="34"/>
          <w:szCs w:val="34"/>
          <w:rtl/>
        </w:rPr>
        <w:t xml:space="preserve"> </w:t>
      </w:r>
      <w:r w:rsidRPr="00C43990">
        <w:rPr>
          <w:rFonts w:ascii="mylotus" w:hAnsi="mylotus"/>
          <w:sz w:val="34"/>
          <w:szCs w:val="34"/>
          <w:rtl/>
        </w:rPr>
        <w:t>يرتدع لو لم يكن في البين وعيد</w:t>
      </w:r>
      <w:r w:rsidR="007512EE">
        <w:rPr>
          <w:rFonts w:ascii="mylotus" w:hAnsi="mylotus"/>
          <w:sz w:val="34"/>
          <w:szCs w:val="34"/>
          <w:rtl/>
        </w:rPr>
        <w:t>،</w:t>
      </w:r>
      <w:r w:rsidRPr="00C43990">
        <w:rPr>
          <w:rFonts w:ascii="mylotus" w:hAnsi="mylotus"/>
          <w:sz w:val="34"/>
          <w:szCs w:val="34"/>
          <w:rtl/>
        </w:rPr>
        <w:t xml:space="preserve"> فهذا يعني عدم المحورية والموضوعية لعنصر الوعيد في حكم العقل العملي بضرورة التنفيذ لأن موضوعه إدراك الاهتمام اللزومي وإن لم </w:t>
      </w:r>
      <w:r w:rsidRPr="00C43990">
        <w:rPr>
          <w:rFonts w:ascii="mylotus" w:hAnsi="mylotus"/>
          <w:sz w:val="34"/>
          <w:szCs w:val="34"/>
          <w:rtl/>
        </w:rPr>
        <w:lastRenderedPageBreak/>
        <w:t>يكن وعيد</w:t>
      </w:r>
      <w:r w:rsidR="007512EE">
        <w:rPr>
          <w:rFonts w:ascii="mylotus" w:hAnsi="mylotus"/>
          <w:sz w:val="34"/>
          <w:szCs w:val="34"/>
          <w:rtl/>
        </w:rPr>
        <w:t>،</w:t>
      </w:r>
      <w:r w:rsidRPr="00C43990">
        <w:rPr>
          <w:rFonts w:ascii="mylotus" w:hAnsi="mylotus"/>
          <w:sz w:val="34"/>
          <w:szCs w:val="34"/>
          <w:rtl/>
        </w:rPr>
        <w:t xml:space="preserve"> إلا أن يقصد بالوعيد بالعقوبة ما يشمل سخط المولى أي عدم رضاه بالمخالفة، وحينئذ يكون النزاع بين المسالك في منشأ اللزوم لفظياً</w:t>
      </w:r>
      <w:r w:rsidRPr="00C43990">
        <w:rPr>
          <w:rFonts w:ascii="mylotus" w:hAnsi="mylotus"/>
          <w:sz w:val="34"/>
          <w:szCs w:val="34"/>
        </w:rPr>
        <w:t>.</w:t>
      </w:r>
    </w:p>
    <w:p w14:paraId="0151BEDF" w14:textId="77777777" w:rsidR="00C43990" w:rsidRDefault="00C43990" w:rsidP="007512EE">
      <w:pPr>
        <w:pStyle w:val="a0"/>
        <w:bidi/>
        <w:spacing w:line="216" w:lineRule="auto"/>
        <w:jc w:val="center"/>
        <w:rPr>
          <w:rFonts w:ascii="mylotus" w:hAnsi="mylotus" w:hint="cs"/>
          <w:sz w:val="34"/>
          <w:szCs w:val="34"/>
          <w:rtl/>
        </w:rPr>
      </w:pPr>
    </w:p>
    <w:p w14:paraId="2D24CFF0" w14:textId="26585BDC" w:rsidR="001F034F" w:rsidRPr="005F7776" w:rsidRDefault="00E706A4" w:rsidP="00C43990">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EAC4C6" w14:textId="77777777" w:rsidR="008E452D" w:rsidRDefault="008E452D" w:rsidP="00A5027D">
      <w:pPr>
        <w:spacing w:line="240" w:lineRule="auto"/>
      </w:pPr>
      <w:r>
        <w:separator/>
      </w:r>
    </w:p>
  </w:endnote>
  <w:endnote w:type="continuationSeparator" w:id="0">
    <w:p w14:paraId="42C7D5C1" w14:textId="77777777" w:rsidR="008E452D" w:rsidRDefault="008E452D"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7512EE" w:rsidRPr="007512EE">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1CBB13" w14:textId="77777777" w:rsidR="008E452D" w:rsidRDefault="008E452D" w:rsidP="00A5027D">
      <w:pPr>
        <w:spacing w:line="240" w:lineRule="auto"/>
      </w:pPr>
      <w:r>
        <w:separator/>
      </w:r>
    </w:p>
  </w:footnote>
  <w:footnote w:type="continuationSeparator" w:id="0">
    <w:p w14:paraId="55D6B90A" w14:textId="77777777" w:rsidR="008E452D" w:rsidRDefault="008E452D"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0BCF8822" w:rsidR="00B07F43" w:rsidRPr="005F7776" w:rsidRDefault="00B07F43" w:rsidP="007512EE">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7456"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80A4620" id="رابط مستقيم 1" o:spid="_x0000_s1026" style="position:absolute;flip:x;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71632">
      <w:rPr>
        <w:rFonts w:ascii="mylotus" w:hAnsi="mylotus" w:cs="mylotus"/>
        <w:color w:val="FF0000"/>
        <w:sz w:val="26"/>
        <w:szCs w:val="26"/>
        <w:rtl/>
      </w:rPr>
      <w:t>بحث ال</w:t>
    </w:r>
    <w:r w:rsidR="00B71632">
      <w:rPr>
        <w:rFonts w:ascii="mylotus" w:hAnsi="mylotus" w:cs="mylotus" w:hint="cs"/>
        <w:color w:val="FF0000"/>
        <w:sz w:val="26"/>
        <w:szCs w:val="26"/>
        <w:rtl/>
      </w:rPr>
      <w:t>أصول</w:t>
    </w:r>
    <w:r w:rsidR="00B71632">
      <w:rPr>
        <w:rFonts w:ascii="mylotus" w:hAnsi="mylotus" w:cs="mylotus"/>
        <w:color w:val="FF0000"/>
        <w:sz w:val="26"/>
        <w:szCs w:val="26"/>
        <w:rtl/>
      </w:rPr>
      <w:t xml:space="preserve"> </w:t>
    </w:r>
    <w:r w:rsidR="00B71632">
      <w:rPr>
        <w:rFonts w:ascii="mylotus" w:hAnsi="mylotus" w:cs="mylotus" w:hint="cs"/>
        <w:color w:val="FF0000"/>
        <w:sz w:val="26"/>
        <w:szCs w:val="26"/>
        <w:rtl/>
        <w:lang w:bidi="ar-IQ"/>
      </w:rPr>
      <w:t>-</w:t>
    </w:r>
    <w:r w:rsidR="00B71632">
      <w:rPr>
        <w:rFonts w:ascii="mylotus" w:hAnsi="mylotus" w:cs="mylotus"/>
        <w:color w:val="FF0000"/>
        <w:sz w:val="26"/>
        <w:szCs w:val="26"/>
        <w:rtl/>
      </w:rPr>
      <w:t xml:space="preserve"> </w:t>
    </w:r>
    <w:r w:rsidR="00A72F7E">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167772">
      <w:rPr>
        <w:rFonts w:ascii="mylotus" w:hAnsi="mylotus" w:cs="mylotus" w:hint="cs"/>
        <w:color w:val="FF0000"/>
        <w:sz w:val="26"/>
        <w:szCs w:val="26"/>
        <w:rtl/>
        <w:lang w:val="en-US" w:bidi="ar-IQ"/>
      </w:rPr>
      <w:t>4</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667885">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A94995">
      <w:rPr>
        <w:rFonts w:ascii="Cambria" w:hAnsi="Cambria" w:cs="mylotus" w:hint="cs"/>
        <w:color w:val="FF0000"/>
        <w:sz w:val="26"/>
        <w:szCs w:val="26"/>
        <w:rtl/>
      </w:rPr>
      <w:t>الثلاثاء</w:t>
    </w:r>
    <w:r w:rsidR="00667885">
      <w:rPr>
        <w:rFonts w:ascii="mylotus" w:hAnsi="mylotus" w:cs="mylotus" w:hint="cs"/>
        <w:color w:val="FF0000"/>
        <w:sz w:val="26"/>
        <w:szCs w:val="26"/>
        <w:rtl/>
      </w:rPr>
      <w:t xml:space="preserve"> </w:t>
    </w:r>
    <w:r w:rsidR="00A94995">
      <w:rPr>
        <w:rFonts w:ascii="mylotus" w:hAnsi="mylotus" w:cs="mylotus" w:hint="cs"/>
        <w:color w:val="FF0000"/>
        <w:sz w:val="26"/>
        <w:szCs w:val="26"/>
        <w:rtl/>
      </w:rPr>
      <w:t>3</w:t>
    </w:r>
    <w:r w:rsidR="00667885">
      <w:rPr>
        <w:rFonts w:ascii="mylotus" w:hAnsi="mylotus" w:cs="mylotus" w:hint="cs"/>
        <w:color w:val="FF0000"/>
        <w:sz w:val="26"/>
        <w:szCs w:val="26"/>
        <w:rtl/>
      </w:rPr>
      <w:t xml:space="preserve"> </w:t>
    </w:r>
    <w:r w:rsidR="007A0B9A">
      <w:rPr>
        <w:rFonts w:ascii="mylotus" w:hAnsi="mylotus" w:cs="mylotus" w:hint="cs"/>
        <w:color w:val="FF0000"/>
        <w:sz w:val="26"/>
        <w:szCs w:val="26"/>
        <w:rtl/>
      </w:rPr>
      <w:t xml:space="preserve">ربيع الثاني </w:t>
    </w:r>
    <w:r w:rsidR="00E616B8">
      <w:rPr>
        <w:rFonts w:ascii="mylotus" w:hAnsi="mylotus" w:cs="mylotus" w:hint="cs"/>
        <w:color w:val="FF0000"/>
        <w:sz w:val="26"/>
        <w:szCs w:val="26"/>
        <w:rtl/>
      </w:rPr>
      <w:t>144</w:t>
    </w:r>
    <w:r w:rsidR="0089362A">
      <w:rPr>
        <w:rFonts w:ascii="mylotus" w:hAnsi="mylotus" w:cs="mylotus" w:hint="cs"/>
        <w:color w:val="FF0000"/>
        <w:sz w:val="26"/>
        <w:szCs w:val="26"/>
        <w:rtl/>
      </w:rPr>
      <w:t>8</w:t>
    </w:r>
    <w:r w:rsidRPr="005F7776">
      <w:rPr>
        <w:rFonts w:ascii="mylotus" w:hAnsi="mylotus" w:cs="mylotus"/>
        <w:color w:val="FF0000"/>
        <w:sz w:val="26"/>
        <w:szCs w:val="26"/>
        <w:rtl/>
      </w:rPr>
      <w:t>هـ</w:t>
    </w:r>
    <w:r w:rsidR="007512EE">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3362C"/>
    <w:rsid w:val="00054F91"/>
    <w:rsid w:val="000634C0"/>
    <w:rsid w:val="00075B8F"/>
    <w:rsid w:val="00085C01"/>
    <w:rsid w:val="000868A0"/>
    <w:rsid w:val="000C2631"/>
    <w:rsid w:val="000F2D22"/>
    <w:rsid w:val="00102391"/>
    <w:rsid w:val="00104288"/>
    <w:rsid w:val="00111AE8"/>
    <w:rsid w:val="00116171"/>
    <w:rsid w:val="00126819"/>
    <w:rsid w:val="00167772"/>
    <w:rsid w:val="001700E2"/>
    <w:rsid w:val="001829C0"/>
    <w:rsid w:val="0018506F"/>
    <w:rsid w:val="00190CDF"/>
    <w:rsid w:val="001B36AE"/>
    <w:rsid w:val="001B7AAB"/>
    <w:rsid w:val="001D2C21"/>
    <w:rsid w:val="001D40F0"/>
    <w:rsid w:val="001E7758"/>
    <w:rsid w:val="001F034F"/>
    <w:rsid w:val="001F6237"/>
    <w:rsid w:val="002220AA"/>
    <w:rsid w:val="00225C1C"/>
    <w:rsid w:val="002339F1"/>
    <w:rsid w:val="002438AD"/>
    <w:rsid w:val="0024499D"/>
    <w:rsid w:val="002530E6"/>
    <w:rsid w:val="00257474"/>
    <w:rsid w:val="0027605E"/>
    <w:rsid w:val="002923DD"/>
    <w:rsid w:val="00294D72"/>
    <w:rsid w:val="002951F9"/>
    <w:rsid w:val="002A79FA"/>
    <w:rsid w:val="002B4E62"/>
    <w:rsid w:val="002C3704"/>
    <w:rsid w:val="002D0D9E"/>
    <w:rsid w:val="002D2D63"/>
    <w:rsid w:val="002D4AF5"/>
    <w:rsid w:val="002F1501"/>
    <w:rsid w:val="00316628"/>
    <w:rsid w:val="003228E8"/>
    <w:rsid w:val="00322CE5"/>
    <w:rsid w:val="00331615"/>
    <w:rsid w:val="00341791"/>
    <w:rsid w:val="0035443E"/>
    <w:rsid w:val="0035715B"/>
    <w:rsid w:val="003A0D7F"/>
    <w:rsid w:val="003A4C77"/>
    <w:rsid w:val="003C27B3"/>
    <w:rsid w:val="003C5C22"/>
    <w:rsid w:val="003E28FC"/>
    <w:rsid w:val="003F635C"/>
    <w:rsid w:val="00402155"/>
    <w:rsid w:val="00416FF8"/>
    <w:rsid w:val="00417B1F"/>
    <w:rsid w:val="00426274"/>
    <w:rsid w:val="00434EF0"/>
    <w:rsid w:val="00440F37"/>
    <w:rsid w:val="004417B4"/>
    <w:rsid w:val="00444116"/>
    <w:rsid w:val="00463804"/>
    <w:rsid w:val="004713E0"/>
    <w:rsid w:val="00487DED"/>
    <w:rsid w:val="004B03A0"/>
    <w:rsid w:val="004B14A5"/>
    <w:rsid w:val="004B76A6"/>
    <w:rsid w:val="004C2054"/>
    <w:rsid w:val="004D6F7D"/>
    <w:rsid w:val="0050790C"/>
    <w:rsid w:val="0051676D"/>
    <w:rsid w:val="00516940"/>
    <w:rsid w:val="00524E83"/>
    <w:rsid w:val="005365F6"/>
    <w:rsid w:val="00554BAB"/>
    <w:rsid w:val="00560065"/>
    <w:rsid w:val="00560F51"/>
    <w:rsid w:val="0058437E"/>
    <w:rsid w:val="00591778"/>
    <w:rsid w:val="00595632"/>
    <w:rsid w:val="005A1261"/>
    <w:rsid w:val="005A573C"/>
    <w:rsid w:val="005D1880"/>
    <w:rsid w:val="005D3B52"/>
    <w:rsid w:val="005F0F6F"/>
    <w:rsid w:val="005F70FF"/>
    <w:rsid w:val="005F7776"/>
    <w:rsid w:val="0060278A"/>
    <w:rsid w:val="00612084"/>
    <w:rsid w:val="006254BE"/>
    <w:rsid w:val="006333B1"/>
    <w:rsid w:val="00637DBE"/>
    <w:rsid w:val="00646A5D"/>
    <w:rsid w:val="00647281"/>
    <w:rsid w:val="00652CA2"/>
    <w:rsid w:val="00667885"/>
    <w:rsid w:val="0067710E"/>
    <w:rsid w:val="00683B86"/>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32DB7"/>
    <w:rsid w:val="00740CF8"/>
    <w:rsid w:val="007512EE"/>
    <w:rsid w:val="00753B14"/>
    <w:rsid w:val="00761EDD"/>
    <w:rsid w:val="0076539C"/>
    <w:rsid w:val="00776E98"/>
    <w:rsid w:val="00781258"/>
    <w:rsid w:val="00790D4D"/>
    <w:rsid w:val="00791C2B"/>
    <w:rsid w:val="007926E8"/>
    <w:rsid w:val="007A0B9A"/>
    <w:rsid w:val="007A1A5D"/>
    <w:rsid w:val="007A59E2"/>
    <w:rsid w:val="007B25DF"/>
    <w:rsid w:val="007B2E20"/>
    <w:rsid w:val="007C2601"/>
    <w:rsid w:val="007D0826"/>
    <w:rsid w:val="007D2646"/>
    <w:rsid w:val="007D2DF4"/>
    <w:rsid w:val="007D3C58"/>
    <w:rsid w:val="007D6129"/>
    <w:rsid w:val="007E4A75"/>
    <w:rsid w:val="007F2A1F"/>
    <w:rsid w:val="00836BC1"/>
    <w:rsid w:val="008469EC"/>
    <w:rsid w:val="00850894"/>
    <w:rsid w:val="00852165"/>
    <w:rsid w:val="00861F42"/>
    <w:rsid w:val="00886478"/>
    <w:rsid w:val="0089362A"/>
    <w:rsid w:val="00895528"/>
    <w:rsid w:val="008A7669"/>
    <w:rsid w:val="008B2BF2"/>
    <w:rsid w:val="008B5A1B"/>
    <w:rsid w:val="008B6C9C"/>
    <w:rsid w:val="008C18BC"/>
    <w:rsid w:val="008C59F7"/>
    <w:rsid w:val="008D0522"/>
    <w:rsid w:val="008D1AF3"/>
    <w:rsid w:val="008D2DBE"/>
    <w:rsid w:val="008E10C9"/>
    <w:rsid w:val="008E452D"/>
    <w:rsid w:val="009076DD"/>
    <w:rsid w:val="009153E5"/>
    <w:rsid w:val="00916630"/>
    <w:rsid w:val="00946D46"/>
    <w:rsid w:val="00950CF6"/>
    <w:rsid w:val="00952DCA"/>
    <w:rsid w:val="0095312D"/>
    <w:rsid w:val="00963C62"/>
    <w:rsid w:val="00964B73"/>
    <w:rsid w:val="0096623A"/>
    <w:rsid w:val="0097647D"/>
    <w:rsid w:val="0098687C"/>
    <w:rsid w:val="00991053"/>
    <w:rsid w:val="00994D9F"/>
    <w:rsid w:val="009954B5"/>
    <w:rsid w:val="009B1550"/>
    <w:rsid w:val="009C701E"/>
    <w:rsid w:val="009D7D48"/>
    <w:rsid w:val="009E5EBF"/>
    <w:rsid w:val="009E651D"/>
    <w:rsid w:val="009F4BE3"/>
    <w:rsid w:val="009F565A"/>
    <w:rsid w:val="00A04BE3"/>
    <w:rsid w:val="00A0527F"/>
    <w:rsid w:val="00A06115"/>
    <w:rsid w:val="00A1068D"/>
    <w:rsid w:val="00A162A4"/>
    <w:rsid w:val="00A43232"/>
    <w:rsid w:val="00A45D65"/>
    <w:rsid w:val="00A5027D"/>
    <w:rsid w:val="00A53FEA"/>
    <w:rsid w:val="00A63606"/>
    <w:rsid w:val="00A66546"/>
    <w:rsid w:val="00A72F7E"/>
    <w:rsid w:val="00A82687"/>
    <w:rsid w:val="00A92C34"/>
    <w:rsid w:val="00A932D7"/>
    <w:rsid w:val="00A94995"/>
    <w:rsid w:val="00AA446A"/>
    <w:rsid w:val="00AB0BF9"/>
    <w:rsid w:val="00AB2506"/>
    <w:rsid w:val="00AB4593"/>
    <w:rsid w:val="00AC0335"/>
    <w:rsid w:val="00AC2737"/>
    <w:rsid w:val="00AD187B"/>
    <w:rsid w:val="00AE61D7"/>
    <w:rsid w:val="00AF26B4"/>
    <w:rsid w:val="00AF658D"/>
    <w:rsid w:val="00B05107"/>
    <w:rsid w:val="00B05627"/>
    <w:rsid w:val="00B07F43"/>
    <w:rsid w:val="00B148FC"/>
    <w:rsid w:val="00B15C12"/>
    <w:rsid w:val="00B24C0B"/>
    <w:rsid w:val="00B27FD9"/>
    <w:rsid w:val="00B42E19"/>
    <w:rsid w:val="00B4551F"/>
    <w:rsid w:val="00B65C14"/>
    <w:rsid w:val="00B70A67"/>
    <w:rsid w:val="00B71632"/>
    <w:rsid w:val="00B77EC8"/>
    <w:rsid w:val="00B81EB8"/>
    <w:rsid w:val="00B87CBD"/>
    <w:rsid w:val="00B87FE6"/>
    <w:rsid w:val="00B96BED"/>
    <w:rsid w:val="00BA53AA"/>
    <w:rsid w:val="00BA697E"/>
    <w:rsid w:val="00BB1CD3"/>
    <w:rsid w:val="00BB58EF"/>
    <w:rsid w:val="00BD0942"/>
    <w:rsid w:val="00BD2206"/>
    <w:rsid w:val="00BD26E3"/>
    <w:rsid w:val="00BD3D69"/>
    <w:rsid w:val="00BD7A64"/>
    <w:rsid w:val="00BF0852"/>
    <w:rsid w:val="00C017CB"/>
    <w:rsid w:val="00C02079"/>
    <w:rsid w:val="00C22646"/>
    <w:rsid w:val="00C3133B"/>
    <w:rsid w:val="00C43990"/>
    <w:rsid w:val="00C57BF1"/>
    <w:rsid w:val="00C705EB"/>
    <w:rsid w:val="00C72348"/>
    <w:rsid w:val="00C7591A"/>
    <w:rsid w:val="00C83005"/>
    <w:rsid w:val="00C8718A"/>
    <w:rsid w:val="00C96172"/>
    <w:rsid w:val="00C9737F"/>
    <w:rsid w:val="00C97837"/>
    <w:rsid w:val="00CB1F7A"/>
    <w:rsid w:val="00CB5F23"/>
    <w:rsid w:val="00CC72D7"/>
    <w:rsid w:val="00CD4C3D"/>
    <w:rsid w:val="00CE6FAD"/>
    <w:rsid w:val="00CF60B7"/>
    <w:rsid w:val="00D05950"/>
    <w:rsid w:val="00D12BC7"/>
    <w:rsid w:val="00D13826"/>
    <w:rsid w:val="00D31E52"/>
    <w:rsid w:val="00D50ECC"/>
    <w:rsid w:val="00D52BD6"/>
    <w:rsid w:val="00D83D98"/>
    <w:rsid w:val="00D84C80"/>
    <w:rsid w:val="00D965CE"/>
    <w:rsid w:val="00DA0B26"/>
    <w:rsid w:val="00DA7AC6"/>
    <w:rsid w:val="00DB1F3D"/>
    <w:rsid w:val="00DD08B6"/>
    <w:rsid w:val="00DF0E53"/>
    <w:rsid w:val="00DF1A38"/>
    <w:rsid w:val="00DF2071"/>
    <w:rsid w:val="00E20D9C"/>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7012"/>
    <w:rsid w:val="00EF4A02"/>
    <w:rsid w:val="00EF4E74"/>
    <w:rsid w:val="00F03EE5"/>
    <w:rsid w:val="00F102E2"/>
    <w:rsid w:val="00F13ED3"/>
    <w:rsid w:val="00F2232F"/>
    <w:rsid w:val="00F24EC7"/>
    <w:rsid w:val="00F31F05"/>
    <w:rsid w:val="00F4159D"/>
    <w:rsid w:val="00F52DC7"/>
    <w:rsid w:val="00F6280E"/>
    <w:rsid w:val="00F6536F"/>
    <w:rsid w:val="00F66520"/>
    <w:rsid w:val="00F72F28"/>
    <w:rsid w:val="00F760D6"/>
    <w:rsid w:val="00F76336"/>
    <w:rsid w:val="00F83D13"/>
    <w:rsid w:val="00F87C5B"/>
    <w:rsid w:val="00F9000E"/>
    <w:rsid w:val="00FB2461"/>
    <w:rsid w:val="00FB61E8"/>
    <w:rsid w:val="00FC2FF8"/>
    <w:rsid w:val="00FC7F35"/>
    <w:rsid w:val="00FE0CE1"/>
    <w:rsid w:val="00FE4612"/>
    <w:rsid w:val="00FE63FE"/>
    <w:rsid w:val="00FE68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CA3018-F59C-45F5-B4A4-08AF50C4E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17</TotalTime>
  <Pages>6</Pages>
  <Words>1423</Words>
  <Characters>8113</Characters>
  <Application>Microsoft Office Word</Application>
  <DocSecurity>0</DocSecurity>
  <Lines>67</Lines>
  <Paragraphs>19</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9517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5</cp:revision>
  <cp:lastPrinted>2026-09-15T19:39:00Z</cp:lastPrinted>
  <dcterms:created xsi:type="dcterms:W3CDTF">2026-09-15T19:37:00Z</dcterms:created>
  <dcterms:modified xsi:type="dcterms:W3CDTF">2026-09-21T19:48:00Z</dcterms:modified>
</cp:coreProperties>
</file>