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3BE11D30" w14:textId="77777777" w:rsidR="008E2CCC"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7B6C350E" w14:textId="77777777" w:rsidR="008E2CCC" w:rsidRPr="00BF0FA5" w:rsidRDefault="008E2CCC" w:rsidP="00BF0FA5">
      <w:pPr>
        <w:pStyle w:val="a0"/>
        <w:bidi/>
        <w:spacing w:line="216" w:lineRule="auto"/>
        <w:rPr>
          <w:rFonts w:ascii="mylotus" w:hAnsi="mylotus"/>
          <w:sz w:val="34"/>
          <w:szCs w:val="34"/>
        </w:rPr>
      </w:pPr>
    </w:p>
    <w:p w14:paraId="73FBFC26" w14:textId="77777777" w:rsidR="00BF0FA5" w:rsidRPr="00BF0FA5" w:rsidRDefault="00BF0FA5" w:rsidP="00BF0FA5">
      <w:pPr>
        <w:pStyle w:val="a0"/>
        <w:bidi/>
        <w:spacing w:line="216" w:lineRule="auto"/>
        <w:rPr>
          <w:rFonts w:ascii="mylotus" w:hAnsi="mylotus"/>
          <w:sz w:val="34"/>
          <w:szCs w:val="34"/>
          <w:rtl/>
        </w:rPr>
      </w:pPr>
      <w:r w:rsidRPr="00BF0FA5">
        <w:rPr>
          <w:rFonts w:ascii="mylotus" w:hAnsi="mylotus"/>
          <w:b/>
          <w:bCs/>
          <w:sz w:val="34"/>
          <w:szCs w:val="34"/>
          <w:rtl/>
        </w:rPr>
        <w:t>الجهة الثالثة في الفارق بين النهي المولوي والنهي الإرشادي:</w:t>
      </w:r>
      <w:r w:rsidRPr="00BF0FA5">
        <w:rPr>
          <w:rFonts w:ascii="mylotus" w:hAnsi="mylotus"/>
          <w:sz w:val="34"/>
          <w:szCs w:val="34"/>
          <w:rtl/>
        </w:rPr>
        <w:t xml:space="preserve"> أي في الفارق بين قول المولى: (لا تصل في ما لا يؤكل لحمه)، و قوله: (لا تقرب ما يحرم لحمه). حيث إن قوله: (لا تصل في ما لا يؤكل لحمه) نهي إرشادي، بينما قوله: (لا تقرب ما يحرم لحمه) نهي مولوي</w:t>
      </w:r>
      <w:r w:rsidRPr="00BF0FA5">
        <w:rPr>
          <w:rFonts w:ascii="mylotus" w:hAnsi="mylotus"/>
          <w:sz w:val="34"/>
          <w:szCs w:val="34"/>
        </w:rPr>
        <w:t>.</w:t>
      </w:r>
    </w:p>
    <w:p w14:paraId="250521E9" w14:textId="77777777" w:rsidR="00BF0FA5" w:rsidRPr="00BF0FA5" w:rsidRDefault="00BF0FA5" w:rsidP="00BF0FA5">
      <w:pPr>
        <w:pStyle w:val="a0"/>
        <w:bidi/>
        <w:spacing w:line="216" w:lineRule="auto"/>
        <w:rPr>
          <w:rFonts w:ascii="mylotus" w:hAnsi="mylotus"/>
          <w:b/>
          <w:bCs/>
          <w:sz w:val="34"/>
          <w:szCs w:val="34"/>
          <w:rtl/>
        </w:rPr>
      </w:pPr>
      <w:r w:rsidRPr="00BF0FA5">
        <w:rPr>
          <w:rFonts w:ascii="mylotus" w:hAnsi="mylotus"/>
          <w:b/>
          <w:bCs/>
          <w:sz w:val="34"/>
          <w:szCs w:val="34"/>
          <w:rtl/>
        </w:rPr>
        <w:t>والبحث في مقامين</w:t>
      </w:r>
      <w:r w:rsidRPr="00BF0FA5">
        <w:rPr>
          <w:rFonts w:ascii="mylotus" w:hAnsi="mylotus"/>
          <w:b/>
          <w:bCs/>
          <w:sz w:val="34"/>
          <w:szCs w:val="34"/>
        </w:rPr>
        <w:t>:</w:t>
      </w:r>
    </w:p>
    <w:p w14:paraId="50F2B4E5" w14:textId="77777777" w:rsidR="00BF0FA5" w:rsidRPr="00BF0FA5" w:rsidRDefault="00BF0FA5" w:rsidP="00BF0FA5">
      <w:pPr>
        <w:pStyle w:val="a0"/>
        <w:bidi/>
        <w:spacing w:line="216" w:lineRule="auto"/>
        <w:rPr>
          <w:rFonts w:ascii="mylotus" w:hAnsi="mylotus"/>
          <w:sz w:val="34"/>
          <w:szCs w:val="34"/>
          <w:rtl/>
        </w:rPr>
      </w:pPr>
      <w:r w:rsidRPr="00BF0FA5">
        <w:rPr>
          <w:rFonts w:ascii="mylotus" w:hAnsi="mylotus"/>
          <w:sz w:val="34"/>
          <w:szCs w:val="34"/>
          <w:rtl/>
        </w:rPr>
        <w:t>المقام الأول: في حقيقة التكليف الإرشادي</w:t>
      </w:r>
      <w:r w:rsidRPr="00BF0FA5">
        <w:rPr>
          <w:rFonts w:ascii="mylotus" w:hAnsi="mylotus"/>
          <w:sz w:val="34"/>
          <w:szCs w:val="34"/>
        </w:rPr>
        <w:t>.</w:t>
      </w:r>
    </w:p>
    <w:p w14:paraId="0A129973" w14:textId="77777777" w:rsidR="00BF0FA5" w:rsidRPr="00BF0FA5" w:rsidRDefault="00BF0FA5" w:rsidP="00BF0FA5">
      <w:pPr>
        <w:pStyle w:val="a0"/>
        <w:bidi/>
        <w:spacing w:line="216" w:lineRule="auto"/>
        <w:rPr>
          <w:rFonts w:ascii="mylotus" w:hAnsi="mylotus"/>
          <w:sz w:val="34"/>
          <w:szCs w:val="34"/>
          <w:rtl/>
        </w:rPr>
      </w:pPr>
      <w:r w:rsidRPr="00BF0FA5">
        <w:rPr>
          <w:rFonts w:ascii="mylotus" w:hAnsi="mylotus"/>
          <w:sz w:val="34"/>
          <w:szCs w:val="34"/>
          <w:rtl/>
        </w:rPr>
        <w:t>والمقام الثاني: هل الأصل المولوية والإرشادية مما تحتاج إلى القرينة؟ أم الأصل هو الإرشادية والمولوية مما تحتاج إلى القرينة؟</w:t>
      </w:r>
    </w:p>
    <w:p w14:paraId="0695859B" w14:textId="77777777" w:rsidR="00BF0FA5" w:rsidRPr="00BF0FA5" w:rsidRDefault="00BF0FA5" w:rsidP="00BF0FA5">
      <w:pPr>
        <w:pStyle w:val="a0"/>
        <w:bidi/>
        <w:spacing w:line="216" w:lineRule="auto"/>
        <w:rPr>
          <w:rFonts w:ascii="mylotus" w:hAnsi="mylotus"/>
          <w:sz w:val="34"/>
          <w:szCs w:val="34"/>
          <w:rtl/>
        </w:rPr>
      </w:pPr>
      <w:r w:rsidRPr="00BF0FA5">
        <w:rPr>
          <w:rFonts w:ascii="mylotus" w:hAnsi="mylotus"/>
          <w:b/>
          <w:bCs/>
          <w:sz w:val="34"/>
          <w:szCs w:val="34"/>
          <w:rtl/>
        </w:rPr>
        <w:t>المقام الأول:</w:t>
      </w:r>
      <w:r w:rsidRPr="00BF0FA5">
        <w:rPr>
          <w:rFonts w:ascii="mylotus" w:hAnsi="mylotus"/>
          <w:sz w:val="34"/>
          <w:szCs w:val="34"/>
          <w:rtl/>
        </w:rPr>
        <w:t xml:space="preserve"> في حقيقة التكليف الإرشادي الأعم من أن يكون أمراً أو نهياً ثلاث نظريات</w:t>
      </w:r>
      <w:r w:rsidRPr="00BF0FA5">
        <w:rPr>
          <w:rFonts w:ascii="mylotus" w:hAnsi="mylotus"/>
          <w:sz w:val="34"/>
          <w:szCs w:val="34"/>
        </w:rPr>
        <w:t>:</w:t>
      </w:r>
    </w:p>
    <w:p w14:paraId="4251C4E5" w14:textId="664414A2" w:rsidR="00BF0FA5" w:rsidRDefault="00BF0FA5" w:rsidP="00BF0FA5">
      <w:pPr>
        <w:pStyle w:val="a0"/>
        <w:widowControl w:val="0"/>
        <w:bidi/>
        <w:spacing w:line="216" w:lineRule="auto"/>
        <w:rPr>
          <w:rFonts w:ascii="mylotus" w:hAnsi="mylotus" w:hint="cs"/>
          <w:sz w:val="34"/>
          <w:szCs w:val="34"/>
          <w:rtl/>
        </w:rPr>
      </w:pPr>
      <w:r w:rsidRPr="00BF0FA5">
        <w:rPr>
          <w:rFonts w:ascii="mylotus" w:hAnsi="mylotus"/>
          <w:b/>
          <w:bCs/>
          <w:sz w:val="34"/>
          <w:szCs w:val="34"/>
          <w:rtl/>
        </w:rPr>
        <w:t xml:space="preserve">النظرية الأولى: </w:t>
      </w:r>
      <w:r w:rsidRPr="00BF0FA5">
        <w:rPr>
          <w:rFonts w:ascii="mylotus" w:hAnsi="mylotus"/>
          <w:sz w:val="34"/>
          <w:szCs w:val="34"/>
          <w:rtl/>
        </w:rPr>
        <w:t xml:space="preserve">أن الإرشاد مجرد إخبار، وليس إنشاءً بالحمل الشائع. فإذا قال المولى مثلاً: (لا تبع ما ليس عندك)، فهو في مقام الإخبار عن حكم شرعي، وهو اشتراط القدرة على تسليم المبيع في صحة البيع، فالصيغة وإن كانت صيغة إنشائية، وهي صيغة النهي، ولكن المبرز العرفي بهذه الصيغة الإنشائية هو الإخبار عن الحكم الشرعي، سواء كان مانعية، أو شرطية، </w:t>
      </w:r>
      <w:proofErr w:type="spellStart"/>
      <w:r w:rsidRPr="00BF0FA5">
        <w:rPr>
          <w:rFonts w:ascii="mylotus" w:hAnsi="mylotus"/>
          <w:sz w:val="34"/>
          <w:szCs w:val="34"/>
          <w:rtl/>
        </w:rPr>
        <w:t>أوجزئية</w:t>
      </w:r>
      <w:proofErr w:type="spellEnd"/>
      <w:r w:rsidRPr="00BF0FA5">
        <w:rPr>
          <w:rFonts w:ascii="mylotus" w:hAnsi="mylotus"/>
          <w:sz w:val="34"/>
          <w:szCs w:val="34"/>
          <w:rtl/>
        </w:rPr>
        <w:t>. إلا أن هذه النظرية منافية لما هو المعهود في الاستعمالات العربية، فإن بيان الإنشاء بالجملة الخبرية معهود عرفاً، ومنه قوله عليه السلام: (لا طلاق إلا بإشهاد) و(لا بيع إلا في ملك)، وقول المالك: (بعتك الكتاب بألف)، فإنه إنشاء للبيع بالجملة الخبرية، وهذا مستعمل عرفاً كنايةً عن التحقق. وأما الإخ</w:t>
      </w:r>
      <w:r>
        <w:rPr>
          <w:rFonts w:ascii="mylotus" w:hAnsi="mylotus"/>
          <w:sz w:val="34"/>
          <w:szCs w:val="34"/>
          <w:rtl/>
        </w:rPr>
        <w:t>بار بخصوص صيغة الأمر، كأن يقول</w:t>
      </w:r>
      <w:r w:rsidRPr="00BF0FA5">
        <w:rPr>
          <w:rFonts w:ascii="mylotus" w:hAnsi="mylotus"/>
          <w:sz w:val="34"/>
          <w:szCs w:val="34"/>
          <w:rtl/>
        </w:rPr>
        <w:t>: (صل قائماً)، أو</w:t>
      </w:r>
      <w:r>
        <w:rPr>
          <w:rFonts w:ascii="mylotus" w:hAnsi="mylotus" w:hint="cs"/>
          <w:sz w:val="34"/>
          <w:szCs w:val="34"/>
          <w:rtl/>
        </w:rPr>
        <w:t xml:space="preserve"> </w:t>
      </w:r>
      <w:r>
        <w:rPr>
          <w:rFonts w:ascii="mylotus" w:hAnsi="mylotus"/>
          <w:sz w:val="34"/>
          <w:szCs w:val="34"/>
          <w:rtl/>
        </w:rPr>
        <w:t>بصيغة النهي كأن يقول</w:t>
      </w:r>
      <w:r w:rsidRPr="00BF0FA5">
        <w:rPr>
          <w:rFonts w:ascii="mylotus" w:hAnsi="mylotus"/>
          <w:sz w:val="34"/>
          <w:szCs w:val="34"/>
          <w:rtl/>
        </w:rPr>
        <w:t>: (لا تصل في ما لا يؤكل لحمه)، ويكون المبرز العرفي في هاتين الصيغتين</w:t>
      </w:r>
      <w:r>
        <w:rPr>
          <w:rFonts w:ascii="mylotus" w:hAnsi="mylotus"/>
          <w:sz w:val="34"/>
          <w:szCs w:val="34"/>
          <w:rtl/>
        </w:rPr>
        <w:t xml:space="preserve"> </w:t>
      </w:r>
      <w:r w:rsidRPr="00BF0FA5">
        <w:rPr>
          <w:rFonts w:ascii="mylotus" w:hAnsi="mylotus"/>
          <w:sz w:val="34"/>
          <w:szCs w:val="34"/>
          <w:rtl/>
        </w:rPr>
        <w:t>هو الإخبار عن الشرطية أو المانعية، فهذا غير معهود في الاستعمالات العرفية مطلقاً، حت</w:t>
      </w:r>
      <w:r>
        <w:rPr>
          <w:rFonts w:ascii="mylotus" w:hAnsi="mylotus"/>
          <w:sz w:val="34"/>
          <w:szCs w:val="34"/>
          <w:rtl/>
        </w:rPr>
        <w:t>ى بنحو يحتفظ فيه بكون المراد ال</w:t>
      </w:r>
      <w:r>
        <w:rPr>
          <w:rFonts w:ascii="mylotus" w:hAnsi="mylotus" w:hint="cs"/>
          <w:sz w:val="34"/>
          <w:szCs w:val="34"/>
          <w:rtl/>
        </w:rPr>
        <w:t>ا</w:t>
      </w:r>
      <w:r w:rsidRPr="00BF0FA5">
        <w:rPr>
          <w:rFonts w:ascii="mylotus" w:hAnsi="mylotus"/>
          <w:sz w:val="34"/>
          <w:szCs w:val="34"/>
          <w:rtl/>
        </w:rPr>
        <w:t>ستعمالي في صيغة الأمر والنهي هو إنشاء البعث والزجر</w:t>
      </w:r>
      <w:r>
        <w:rPr>
          <w:rFonts w:ascii="mylotus" w:hAnsi="mylotus"/>
          <w:sz w:val="34"/>
          <w:szCs w:val="34"/>
          <w:rtl/>
        </w:rPr>
        <w:t>،</w:t>
      </w:r>
      <w:r w:rsidRPr="00BF0FA5">
        <w:rPr>
          <w:rFonts w:ascii="mylotus" w:hAnsi="mylotus"/>
          <w:sz w:val="34"/>
          <w:szCs w:val="34"/>
          <w:rtl/>
        </w:rPr>
        <w:t xml:space="preserve"> وإنما الإخبار بحسب المراد الجدي</w:t>
      </w:r>
      <w:r>
        <w:rPr>
          <w:rFonts w:ascii="mylotus" w:hAnsi="mylotus"/>
          <w:sz w:val="34"/>
          <w:szCs w:val="34"/>
          <w:rtl/>
        </w:rPr>
        <w:t>،</w:t>
      </w:r>
      <w:r w:rsidRPr="00BF0FA5">
        <w:rPr>
          <w:rFonts w:ascii="mylotus" w:hAnsi="mylotus"/>
          <w:sz w:val="34"/>
          <w:szCs w:val="34"/>
          <w:rtl/>
        </w:rPr>
        <w:t xml:space="preserve"> فإنه مع ذلك ليس معهودا</w:t>
      </w:r>
      <w:r>
        <w:rPr>
          <w:rFonts w:ascii="mylotus" w:hAnsi="mylotus" w:hint="cs"/>
          <w:sz w:val="34"/>
          <w:szCs w:val="34"/>
          <w:rtl/>
        </w:rPr>
        <w:t>ً</w:t>
      </w:r>
      <w:r w:rsidRPr="00BF0FA5">
        <w:rPr>
          <w:rFonts w:ascii="mylotus" w:hAnsi="mylotus"/>
          <w:sz w:val="34"/>
          <w:szCs w:val="34"/>
          <w:rtl/>
        </w:rPr>
        <w:t xml:space="preserve"> في خصوص صيغة الأمر والنهي</w:t>
      </w:r>
      <w:r>
        <w:rPr>
          <w:rFonts w:ascii="mylotus" w:hAnsi="mylotus" w:hint="cs"/>
          <w:sz w:val="34"/>
          <w:szCs w:val="34"/>
          <w:rtl/>
        </w:rPr>
        <w:t>.</w:t>
      </w:r>
    </w:p>
    <w:p w14:paraId="09251C3C" w14:textId="77777777" w:rsidR="00BF0FA5" w:rsidRDefault="00BF0FA5" w:rsidP="00BF0FA5">
      <w:pPr>
        <w:pStyle w:val="a0"/>
        <w:widowControl w:val="0"/>
        <w:bidi/>
        <w:spacing w:line="216" w:lineRule="auto"/>
        <w:rPr>
          <w:rFonts w:ascii="mylotus" w:hAnsi="mylotus" w:hint="cs"/>
          <w:sz w:val="34"/>
          <w:szCs w:val="34"/>
          <w:rtl/>
        </w:rPr>
      </w:pPr>
      <w:r w:rsidRPr="00BF0FA5">
        <w:rPr>
          <w:rFonts w:ascii="mylotus" w:hAnsi="mylotus"/>
          <w:b/>
          <w:bCs/>
          <w:sz w:val="34"/>
          <w:szCs w:val="34"/>
          <w:rtl/>
        </w:rPr>
        <w:t>النظرية الثانية:</w:t>
      </w:r>
      <w:r>
        <w:rPr>
          <w:rFonts w:ascii="mylotus" w:hAnsi="mylotus"/>
          <w:sz w:val="34"/>
          <w:szCs w:val="34"/>
          <w:rtl/>
        </w:rPr>
        <w:t xml:space="preserve"> ويمكن بيانها بأحد</w:t>
      </w:r>
      <w:r>
        <w:rPr>
          <w:rFonts w:ascii="mylotus" w:hAnsi="mylotus" w:hint="cs"/>
          <w:sz w:val="34"/>
          <w:szCs w:val="34"/>
          <w:rtl/>
        </w:rPr>
        <w:t xml:space="preserve"> </w:t>
      </w:r>
      <w:r w:rsidRPr="00BF0FA5">
        <w:rPr>
          <w:rFonts w:ascii="mylotus" w:hAnsi="mylotus"/>
          <w:sz w:val="34"/>
          <w:szCs w:val="34"/>
          <w:rtl/>
        </w:rPr>
        <w:t>نحوين</w:t>
      </w:r>
      <w:r>
        <w:rPr>
          <w:rFonts w:ascii="mylotus" w:hAnsi="mylotus" w:hint="cs"/>
          <w:sz w:val="34"/>
          <w:szCs w:val="34"/>
          <w:rtl/>
        </w:rPr>
        <w:t>:</w:t>
      </w:r>
    </w:p>
    <w:p w14:paraId="164FD2F2" w14:textId="6FB8CDFC" w:rsidR="00BF0FA5" w:rsidRPr="00BF0FA5" w:rsidRDefault="00BF0FA5" w:rsidP="00BF0FA5">
      <w:pPr>
        <w:pStyle w:val="a0"/>
        <w:widowControl w:val="0"/>
        <w:bidi/>
        <w:spacing w:line="216" w:lineRule="auto"/>
        <w:rPr>
          <w:rFonts w:ascii="mylotus" w:hAnsi="mylotus"/>
          <w:sz w:val="34"/>
          <w:szCs w:val="34"/>
          <w:rtl/>
        </w:rPr>
      </w:pPr>
      <w:r w:rsidRPr="00BF0FA5">
        <w:rPr>
          <w:rFonts w:ascii="mylotus" w:hAnsi="mylotus"/>
          <w:sz w:val="34"/>
          <w:szCs w:val="34"/>
          <w:rtl/>
        </w:rPr>
        <w:lastRenderedPageBreak/>
        <w:t>1- ما نقله سيد المنتقى قدس سره [كما في ج1 ص٣٩٨] عن المحقق الهمداني [في كتاب الصلاة ط1 ص١٣٣]، من أن الأمر أو النهي الإرشادي مولوي في فرض خاص، فليس ثمة فرق جوهري بين المولوي والإرشادي، غاية ما في الباب أن المولوي ليس منوطاً بفرض خاص، بخلاف الإرشادي، وبيان ذلك: أن المولى تارةً يقول: (لا تطعم الطفل لبن ما لا يؤكل لحمه)، وهذا نهي مولوي ليس منوطاً بفرض خاص. وتارة يقول: (لا تصل في ما لا يؤكل لحمه)، أو: (اقرأ السورة في الصلاة)، فهو زجر مولوي وبعث مولوي، غاية ما في الأمر أنه زجر مولوي في فرض الصلاة. فكأنه قال: (إذا تلبست بالصلاة، فأنت منهي عن التستر بما لا يؤكل لحمه)، أو (إذا تلبست بالصلاة، فأنت مأمور بقراءة السورة). فالمولوي والإرشادي كلاهما بعث بداعي قدح الداعي، أو زجر بداعي الردع، إلا أن الأول مطلق والثاني في فرض خاص</w:t>
      </w:r>
      <w:r w:rsidRPr="00BF0FA5">
        <w:rPr>
          <w:rFonts w:ascii="mylotus" w:hAnsi="mylotus"/>
          <w:sz w:val="34"/>
          <w:szCs w:val="34"/>
        </w:rPr>
        <w:t>.</w:t>
      </w:r>
    </w:p>
    <w:p w14:paraId="378209B3" w14:textId="77777777" w:rsidR="00BF0FA5" w:rsidRDefault="00BF0FA5" w:rsidP="00BF0FA5">
      <w:pPr>
        <w:pStyle w:val="a0"/>
        <w:widowControl w:val="0"/>
        <w:bidi/>
        <w:spacing w:line="216" w:lineRule="auto"/>
        <w:rPr>
          <w:rFonts w:ascii="mylotus" w:hAnsi="mylotus" w:hint="cs"/>
          <w:sz w:val="34"/>
          <w:szCs w:val="34"/>
          <w:rtl/>
        </w:rPr>
      </w:pPr>
      <w:r w:rsidRPr="00BF0FA5">
        <w:rPr>
          <w:rFonts w:ascii="mylotus" w:hAnsi="mylotus"/>
          <w:sz w:val="34"/>
          <w:szCs w:val="34"/>
          <w:rtl/>
        </w:rPr>
        <w:t>ولم يعلق سيد المنتقى قدس سره الشريف على كلام المحقق الهمداني قدس سره في المقام.</w:t>
      </w:r>
    </w:p>
    <w:p w14:paraId="0C0AF11C" w14:textId="12BAFADC" w:rsidR="00BF0FA5" w:rsidRDefault="00BF0FA5" w:rsidP="00BF0FA5">
      <w:pPr>
        <w:pStyle w:val="a0"/>
        <w:widowControl w:val="0"/>
        <w:bidi/>
        <w:spacing w:line="216" w:lineRule="auto"/>
        <w:rPr>
          <w:rFonts w:ascii="mylotus" w:hAnsi="mylotus" w:hint="cs"/>
          <w:sz w:val="34"/>
          <w:szCs w:val="34"/>
          <w:rtl/>
        </w:rPr>
      </w:pPr>
      <w:r w:rsidRPr="00BF0FA5">
        <w:rPr>
          <w:rFonts w:ascii="mylotus" w:hAnsi="mylotus"/>
          <w:sz w:val="34"/>
          <w:szCs w:val="34"/>
          <w:rtl/>
        </w:rPr>
        <w:t>2- ما</w:t>
      </w:r>
      <w:r>
        <w:rPr>
          <w:rFonts w:ascii="mylotus" w:hAnsi="mylotus" w:hint="cs"/>
          <w:sz w:val="34"/>
          <w:szCs w:val="34"/>
          <w:rtl/>
        </w:rPr>
        <w:t xml:space="preserve"> </w:t>
      </w:r>
      <w:r>
        <w:rPr>
          <w:rFonts w:ascii="mylotus" w:hAnsi="mylotus"/>
          <w:sz w:val="34"/>
          <w:szCs w:val="34"/>
          <w:rtl/>
        </w:rPr>
        <w:t>نقله في المنتقى في موضع آخر [</w:t>
      </w:r>
      <w:r w:rsidRPr="00BF0FA5">
        <w:rPr>
          <w:rFonts w:ascii="mylotus" w:hAnsi="mylotus"/>
          <w:sz w:val="34"/>
          <w:szCs w:val="34"/>
          <w:rtl/>
        </w:rPr>
        <w:t>ج5 ص266] عن المحقق الهمداني قد</w:t>
      </w:r>
      <w:r>
        <w:rPr>
          <w:rFonts w:ascii="mylotus" w:hAnsi="mylotus" w:hint="cs"/>
          <w:sz w:val="34"/>
          <w:szCs w:val="34"/>
          <w:rtl/>
        </w:rPr>
        <w:t>س سر</w:t>
      </w:r>
      <w:r>
        <w:rPr>
          <w:rFonts w:ascii="mylotus" w:hAnsi="mylotus"/>
          <w:sz w:val="34"/>
          <w:szCs w:val="34"/>
          <w:rtl/>
        </w:rPr>
        <w:t>هما</w:t>
      </w:r>
      <w:r w:rsidRPr="00BF0FA5">
        <w:rPr>
          <w:rFonts w:ascii="mylotus" w:hAnsi="mylotus"/>
          <w:sz w:val="34"/>
          <w:szCs w:val="34"/>
          <w:rtl/>
        </w:rPr>
        <w:t>: من أن الأمر الإرشادي</w:t>
      </w:r>
      <w:r>
        <w:rPr>
          <w:rFonts w:ascii="mylotus" w:hAnsi="mylotus"/>
          <w:sz w:val="34"/>
          <w:szCs w:val="34"/>
          <w:rtl/>
        </w:rPr>
        <w:t xml:space="preserve"> </w:t>
      </w:r>
      <w:r w:rsidRPr="00BF0FA5">
        <w:rPr>
          <w:rFonts w:ascii="mylotus" w:hAnsi="mylotus"/>
          <w:sz w:val="34"/>
          <w:szCs w:val="34"/>
          <w:rtl/>
        </w:rPr>
        <w:t>مستعمل في النسبة الطلبية والمراد الواقعي منه هو الطلب الا أنه لم يصدر بداعي البعث والتحريك</w:t>
      </w:r>
      <w:r>
        <w:rPr>
          <w:rFonts w:ascii="mylotus" w:hAnsi="mylotus"/>
          <w:sz w:val="34"/>
          <w:szCs w:val="34"/>
          <w:rtl/>
        </w:rPr>
        <w:t>،</w:t>
      </w:r>
      <w:r w:rsidRPr="00BF0FA5">
        <w:rPr>
          <w:rFonts w:ascii="mylotus" w:hAnsi="mylotus"/>
          <w:sz w:val="34"/>
          <w:szCs w:val="34"/>
          <w:rtl/>
        </w:rPr>
        <w:t xml:space="preserve"> وإنما صدر بداعي الإعلام</w:t>
      </w:r>
      <w:r>
        <w:rPr>
          <w:rFonts w:ascii="mylotus" w:hAnsi="mylotus"/>
          <w:sz w:val="34"/>
          <w:szCs w:val="34"/>
          <w:rtl/>
        </w:rPr>
        <w:t>،</w:t>
      </w:r>
      <w:r w:rsidRPr="00BF0FA5">
        <w:rPr>
          <w:rFonts w:ascii="mylotus" w:hAnsi="mylotus"/>
          <w:sz w:val="34"/>
          <w:szCs w:val="34"/>
          <w:rtl/>
        </w:rPr>
        <w:t xml:space="preserve"> في فرض خاص وهو فرض إرادة امتثال المأمور به</w:t>
      </w:r>
      <w:r>
        <w:rPr>
          <w:rFonts w:ascii="mylotus" w:hAnsi="mylotus"/>
          <w:sz w:val="34"/>
          <w:szCs w:val="34"/>
          <w:rtl/>
        </w:rPr>
        <w:t>،</w:t>
      </w:r>
      <w:r w:rsidRPr="00BF0FA5">
        <w:rPr>
          <w:rFonts w:ascii="mylotus" w:hAnsi="mylotus"/>
          <w:sz w:val="34"/>
          <w:szCs w:val="34"/>
          <w:rtl/>
        </w:rPr>
        <w:t xml:space="preserve"> فمفاد قوله</w:t>
      </w:r>
      <w:r>
        <w:rPr>
          <w:rFonts w:ascii="mylotus" w:hAnsi="mylotus" w:hint="cs"/>
          <w:sz w:val="34"/>
          <w:szCs w:val="34"/>
          <w:rtl/>
        </w:rPr>
        <w:t>:</w:t>
      </w:r>
      <w:r>
        <w:rPr>
          <w:rFonts w:ascii="mylotus" w:hAnsi="mylotus"/>
          <w:sz w:val="34"/>
          <w:szCs w:val="34"/>
          <w:rtl/>
        </w:rPr>
        <w:t xml:space="preserve"> (صل بطهور</w:t>
      </w:r>
      <w:r w:rsidRPr="00BF0FA5">
        <w:rPr>
          <w:rFonts w:ascii="mylotus" w:hAnsi="mylotus"/>
          <w:sz w:val="34"/>
          <w:szCs w:val="34"/>
          <w:rtl/>
        </w:rPr>
        <w:t>) هو أنك إذا أردت امتثال الأمر بالصلاة فلا</w:t>
      </w:r>
      <w:r>
        <w:rPr>
          <w:rFonts w:ascii="mylotus" w:hAnsi="mylotus" w:hint="cs"/>
          <w:sz w:val="34"/>
          <w:szCs w:val="34"/>
          <w:rtl/>
        </w:rPr>
        <w:t xml:space="preserve"> </w:t>
      </w:r>
      <w:r>
        <w:rPr>
          <w:rFonts w:ascii="mylotus" w:hAnsi="mylotus"/>
          <w:sz w:val="34"/>
          <w:szCs w:val="34"/>
          <w:rtl/>
        </w:rPr>
        <w:t>بد لك من الطهور</w:t>
      </w:r>
      <w:r w:rsidRPr="00BF0FA5">
        <w:rPr>
          <w:rFonts w:ascii="mylotus" w:hAnsi="mylotus"/>
          <w:sz w:val="34"/>
          <w:szCs w:val="34"/>
          <w:rtl/>
        </w:rPr>
        <w:t>، وذلك يشمل الذاكر والناسي والقادر والعاجز</w:t>
      </w:r>
      <w:r>
        <w:rPr>
          <w:rFonts w:ascii="mylotus" w:hAnsi="mylotus"/>
          <w:sz w:val="34"/>
          <w:szCs w:val="34"/>
          <w:rtl/>
        </w:rPr>
        <w:t>،</w:t>
      </w:r>
      <w:r w:rsidRPr="00BF0FA5">
        <w:rPr>
          <w:rFonts w:ascii="mylotus" w:hAnsi="mylotus"/>
          <w:sz w:val="34"/>
          <w:szCs w:val="34"/>
          <w:rtl/>
        </w:rPr>
        <w:t xml:space="preserve"> لعدم تضمنه للبعث والتحريك</w:t>
      </w:r>
      <w:r>
        <w:rPr>
          <w:rFonts w:ascii="mylotus" w:hAnsi="mylotus" w:hint="cs"/>
          <w:sz w:val="34"/>
          <w:szCs w:val="34"/>
          <w:rtl/>
        </w:rPr>
        <w:t>.</w:t>
      </w:r>
    </w:p>
    <w:p w14:paraId="0F5C3C86" w14:textId="650F20E3" w:rsidR="00BF0FA5" w:rsidRPr="00BF0FA5" w:rsidRDefault="00BF0FA5" w:rsidP="00BF0FA5">
      <w:pPr>
        <w:pStyle w:val="a0"/>
        <w:widowControl w:val="0"/>
        <w:bidi/>
        <w:spacing w:line="216" w:lineRule="auto"/>
        <w:rPr>
          <w:rFonts w:ascii="mylotus" w:hAnsi="mylotus"/>
          <w:sz w:val="34"/>
          <w:szCs w:val="34"/>
          <w:rtl/>
        </w:rPr>
      </w:pPr>
      <w:r w:rsidRPr="00BF0FA5">
        <w:rPr>
          <w:rFonts w:ascii="mylotus" w:hAnsi="mylotus"/>
          <w:b/>
          <w:bCs/>
          <w:sz w:val="34"/>
          <w:szCs w:val="34"/>
          <w:rtl/>
        </w:rPr>
        <w:t>ويلاحظ على النحو الأول:</w:t>
      </w:r>
      <w:r w:rsidRPr="00BF0FA5">
        <w:rPr>
          <w:rFonts w:ascii="mylotus" w:hAnsi="mylotus"/>
          <w:sz w:val="34"/>
          <w:szCs w:val="34"/>
          <w:rtl/>
        </w:rPr>
        <w:t xml:space="preserve"> أن الظاهر عرفاً من قوله: (لا تصل في ما لا يؤكل لحمه)، أو (صل عند الزوال)، ليس هو الردع، أو البعث بداعي قدح الإرادة، وإنما الظاهر عرفاً أنه تنبيه إلى حدود الصلاة المأمور بها، ببيان شرائطها وأجزائها. وإلا لو كان الأمر الإرشادي الصادر ممن تجب طاعته -كقوله: (صل عند الزوال)- بعثاً حقيقياً في فرض الصلاة لكان مقتضى ذلك أنه إذا خالف ار</w:t>
      </w:r>
      <w:r>
        <w:rPr>
          <w:rFonts w:ascii="mylotus" w:hAnsi="mylotus"/>
          <w:sz w:val="34"/>
          <w:szCs w:val="34"/>
          <w:rtl/>
        </w:rPr>
        <w:t>تكب المعصية، لا أن الصلاة فاسدة</w:t>
      </w:r>
      <w:r>
        <w:rPr>
          <w:rFonts w:ascii="mylotus" w:hAnsi="mylotus" w:hint="cs"/>
          <w:sz w:val="34"/>
          <w:szCs w:val="34"/>
          <w:rtl/>
        </w:rPr>
        <w:t>،</w:t>
      </w:r>
      <w:r w:rsidRPr="00BF0FA5">
        <w:rPr>
          <w:rFonts w:ascii="mylotus" w:hAnsi="mylotus"/>
          <w:sz w:val="34"/>
          <w:szCs w:val="34"/>
          <w:rtl/>
        </w:rPr>
        <w:t xml:space="preserve"> ولكان هذا البعث المولوي منوطاً بالقدرة، بمعنى أنه إن كان قادراً كان التستر بما لا يؤكل لحمه مانعاً، وإلا فليس مانعاً. وهذا مما لا يقول به أحد، فإن الأوامر الإرشادية بحسب المرتكزات الفقهية في أبواب العبادات والمعاملات مرجعها إلى أحكام وضعية، ومقتضى كونها حكماً وضعياً -كالشرطية، والمانعية، والجزئية- أنها ثابتة في المركب المأمور به، كان المكلف قادراً أو عاجزاً، وليست بمثابة البعث والزجر التكليفيين المنوطين بالقدرة على المتعلق</w:t>
      </w:r>
      <w:r w:rsidRPr="00BF0FA5">
        <w:rPr>
          <w:rFonts w:ascii="mylotus" w:hAnsi="mylotus"/>
          <w:sz w:val="34"/>
          <w:szCs w:val="34"/>
        </w:rPr>
        <w:t>.</w:t>
      </w:r>
    </w:p>
    <w:p w14:paraId="36293995" w14:textId="024AC8E2" w:rsidR="00BF0FA5" w:rsidRDefault="00BF0FA5" w:rsidP="00BF0FA5">
      <w:pPr>
        <w:pStyle w:val="a0"/>
        <w:widowControl w:val="0"/>
        <w:bidi/>
        <w:spacing w:line="216" w:lineRule="auto"/>
        <w:rPr>
          <w:rFonts w:ascii="mylotus" w:hAnsi="mylotus" w:hint="cs"/>
          <w:b/>
          <w:bCs/>
          <w:sz w:val="34"/>
          <w:szCs w:val="34"/>
          <w:rtl/>
        </w:rPr>
      </w:pPr>
      <w:r w:rsidRPr="00BF0FA5">
        <w:rPr>
          <w:rFonts w:ascii="mylotus" w:hAnsi="mylotus"/>
          <w:b/>
          <w:bCs/>
          <w:sz w:val="34"/>
          <w:szCs w:val="34"/>
          <w:rtl/>
        </w:rPr>
        <w:t>كما يلاحظ على النحو الثاني:</w:t>
      </w:r>
      <w:r>
        <w:rPr>
          <w:rFonts w:ascii="mylotus" w:hAnsi="mylotus"/>
          <w:sz w:val="34"/>
          <w:szCs w:val="34"/>
          <w:rtl/>
        </w:rPr>
        <w:t xml:space="preserve"> أن تحديد الإرشادي ب</w:t>
      </w:r>
      <w:r>
        <w:rPr>
          <w:rFonts w:ascii="mylotus" w:hAnsi="mylotus" w:hint="cs"/>
          <w:sz w:val="34"/>
          <w:szCs w:val="34"/>
          <w:rtl/>
        </w:rPr>
        <w:t>ـ</w:t>
      </w:r>
      <w:r w:rsidRPr="00BF0FA5">
        <w:rPr>
          <w:rFonts w:ascii="mylotus" w:hAnsi="mylotus"/>
          <w:sz w:val="34"/>
          <w:szCs w:val="34"/>
          <w:rtl/>
        </w:rPr>
        <w:t xml:space="preserve"> </w:t>
      </w:r>
      <w:r>
        <w:rPr>
          <w:rFonts w:ascii="mylotus" w:hAnsi="mylotus" w:hint="cs"/>
          <w:sz w:val="34"/>
          <w:szCs w:val="34"/>
          <w:rtl/>
        </w:rPr>
        <w:t>(</w:t>
      </w:r>
      <w:r w:rsidRPr="00BF0FA5">
        <w:rPr>
          <w:rFonts w:ascii="mylotus" w:hAnsi="mylotus"/>
          <w:sz w:val="34"/>
          <w:szCs w:val="34"/>
          <w:rtl/>
        </w:rPr>
        <w:t xml:space="preserve">الأمر المستعمل </w:t>
      </w:r>
      <w:r>
        <w:rPr>
          <w:rFonts w:ascii="mylotus" w:hAnsi="mylotus"/>
          <w:sz w:val="34"/>
          <w:szCs w:val="34"/>
          <w:rtl/>
        </w:rPr>
        <w:t xml:space="preserve">في النسبة الطلبية بداعي </w:t>
      </w:r>
      <w:r>
        <w:rPr>
          <w:rFonts w:ascii="mylotus" w:hAnsi="mylotus"/>
          <w:sz w:val="34"/>
          <w:szCs w:val="34"/>
          <w:rtl/>
        </w:rPr>
        <w:lastRenderedPageBreak/>
        <w:t>الإعلام</w:t>
      </w:r>
      <w:r>
        <w:rPr>
          <w:rFonts w:ascii="mylotus" w:hAnsi="mylotus" w:hint="cs"/>
          <w:sz w:val="34"/>
          <w:szCs w:val="34"/>
          <w:rtl/>
        </w:rPr>
        <w:t>)</w:t>
      </w:r>
      <w:r w:rsidRPr="00BF0FA5">
        <w:rPr>
          <w:rFonts w:ascii="mylotus" w:hAnsi="mylotus"/>
          <w:sz w:val="34"/>
          <w:szCs w:val="34"/>
          <w:rtl/>
        </w:rPr>
        <w:t xml:space="preserve"> هو نفس التحديد المعروف</w:t>
      </w:r>
      <w:r>
        <w:rPr>
          <w:rFonts w:ascii="mylotus" w:hAnsi="mylotus"/>
          <w:sz w:val="34"/>
          <w:szCs w:val="34"/>
          <w:rtl/>
        </w:rPr>
        <w:t>،</w:t>
      </w:r>
      <w:r w:rsidRPr="00BF0FA5">
        <w:rPr>
          <w:rFonts w:ascii="mylotus" w:hAnsi="mylotus"/>
          <w:sz w:val="34"/>
          <w:szCs w:val="34"/>
          <w:rtl/>
        </w:rPr>
        <w:t xml:space="preserve"> وليس مبنى آخر غير ما</w:t>
      </w:r>
      <w:r>
        <w:rPr>
          <w:rFonts w:ascii="mylotus" w:hAnsi="mylotus" w:hint="cs"/>
          <w:sz w:val="34"/>
          <w:szCs w:val="34"/>
          <w:rtl/>
        </w:rPr>
        <w:t xml:space="preserve"> </w:t>
      </w:r>
      <w:r w:rsidRPr="00BF0FA5">
        <w:rPr>
          <w:rFonts w:ascii="mylotus" w:hAnsi="mylotus"/>
          <w:sz w:val="34"/>
          <w:szCs w:val="34"/>
          <w:rtl/>
        </w:rPr>
        <w:t>يقوله الآخرون</w:t>
      </w:r>
      <w:r>
        <w:rPr>
          <w:rFonts w:ascii="mylotus" w:hAnsi="mylotus"/>
          <w:sz w:val="34"/>
          <w:szCs w:val="34"/>
          <w:rtl/>
        </w:rPr>
        <w:t>،</w:t>
      </w:r>
      <w:r w:rsidRPr="00BF0FA5">
        <w:rPr>
          <w:rFonts w:ascii="mylotus" w:hAnsi="mylotus"/>
          <w:sz w:val="34"/>
          <w:szCs w:val="34"/>
          <w:rtl/>
        </w:rPr>
        <w:t xml:space="preserve"> وبناء</w:t>
      </w:r>
      <w:r>
        <w:rPr>
          <w:rFonts w:ascii="mylotus" w:hAnsi="mylotus" w:hint="cs"/>
          <w:sz w:val="34"/>
          <w:szCs w:val="34"/>
          <w:rtl/>
        </w:rPr>
        <w:t>ً</w:t>
      </w:r>
      <w:r w:rsidRPr="00BF0FA5">
        <w:rPr>
          <w:rFonts w:ascii="mylotus" w:hAnsi="mylotus"/>
          <w:sz w:val="34"/>
          <w:szCs w:val="34"/>
          <w:rtl/>
        </w:rPr>
        <w:t xml:space="preserve"> عليه فالفارق بينه وبين المولوي فارق جوهري</w:t>
      </w:r>
      <w:r>
        <w:rPr>
          <w:rFonts w:ascii="mylotus" w:hAnsi="mylotus"/>
          <w:sz w:val="34"/>
          <w:szCs w:val="34"/>
          <w:rtl/>
        </w:rPr>
        <w:t>،</w:t>
      </w:r>
      <w:r w:rsidRPr="00BF0FA5">
        <w:rPr>
          <w:rFonts w:ascii="mylotus" w:hAnsi="mylotus"/>
          <w:sz w:val="34"/>
          <w:szCs w:val="34"/>
          <w:rtl/>
        </w:rPr>
        <w:t xml:space="preserve"> لكون الأول متقوما بداعي البعث والتحريك</w:t>
      </w:r>
      <w:r>
        <w:rPr>
          <w:rFonts w:ascii="mylotus" w:hAnsi="mylotus"/>
          <w:sz w:val="34"/>
          <w:szCs w:val="34"/>
          <w:rtl/>
        </w:rPr>
        <w:t>،</w:t>
      </w:r>
      <w:r w:rsidRPr="00BF0FA5">
        <w:rPr>
          <w:rFonts w:ascii="mylotus" w:hAnsi="mylotus"/>
          <w:sz w:val="34"/>
          <w:szCs w:val="34"/>
          <w:rtl/>
        </w:rPr>
        <w:t xml:space="preserve"> والثاني بداعي الإعلام</w:t>
      </w:r>
      <w:r>
        <w:rPr>
          <w:rFonts w:ascii="mylotus" w:hAnsi="mylotus"/>
          <w:sz w:val="34"/>
          <w:szCs w:val="34"/>
          <w:rtl/>
        </w:rPr>
        <w:t>،</w:t>
      </w:r>
      <w:r w:rsidRPr="00BF0FA5">
        <w:rPr>
          <w:rFonts w:ascii="mylotus" w:hAnsi="mylotus"/>
          <w:sz w:val="34"/>
          <w:szCs w:val="34"/>
          <w:rtl/>
        </w:rPr>
        <w:t xml:space="preserve"> فلا</w:t>
      </w:r>
      <w:r>
        <w:rPr>
          <w:rFonts w:ascii="mylotus" w:hAnsi="mylotus" w:hint="cs"/>
          <w:sz w:val="34"/>
          <w:szCs w:val="34"/>
          <w:rtl/>
        </w:rPr>
        <w:t xml:space="preserve"> </w:t>
      </w:r>
      <w:r w:rsidRPr="00BF0FA5">
        <w:rPr>
          <w:rFonts w:ascii="mylotus" w:hAnsi="mylotus"/>
          <w:sz w:val="34"/>
          <w:szCs w:val="34"/>
          <w:rtl/>
        </w:rPr>
        <w:t>حاجة مع ذلك بجعل الفارق بينهما أن الإر</w:t>
      </w:r>
      <w:r>
        <w:rPr>
          <w:rFonts w:ascii="mylotus" w:hAnsi="mylotus"/>
          <w:sz w:val="34"/>
          <w:szCs w:val="34"/>
          <w:rtl/>
        </w:rPr>
        <w:t>شادي مولوي في فرض خاص، وإن قيل</w:t>
      </w:r>
      <w:r w:rsidRPr="00BF0FA5">
        <w:rPr>
          <w:rFonts w:ascii="mylotus" w:hAnsi="mylotus"/>
          <w:sz w:val="34"/>
          <w:szCs w:val="34"/>
          <w:rtl/>
        </w:rPr>
        <w:t>: إن الإرشادي يشارك المولوي في أنه متضمن جدا للطلب الحقيقي من ا</w:t>
      </w:r>
      <w:r>
        <w:rPr>
          <w:rFonts w:ascii="mylotus" w:hAnsi="mylotus"/>
          <w:sz w:val="34"/>
          <w:szCs w:val="34"/>
          <w:rtl/>
        </w:rPr>
        <w:t>لمخاطب، وإن لم يكن بداعي البعث</w:t>
      </w:r>
      <w:r w:rsidRPr="00BF0FA5">
        <w:rPr>
          <w:rFonts w:ascii="mylotus" w:hAnsi="mylotus"/>
          <w:sz w:val="34"/>
          <w:szCs w:val="34"/>
          <w:rtl/>
        </w:rPr>
        <w:t>.</w:t>
      </w:r>
      <w:r>
        <w:rPr>
          <w:rFonts w:ascii="mylotus" w:hAnsi="mylotus" w:hint="cs"/>
          <w:sz w:val="34"/>
          <w:szCs w:val="34"/>
          <w:rtl/>
        </w:rPr>
        <w:t xml:space="preserve"> </w:t>
      </w:r>
      <w:r w:rsidRPr="00BF0FA5">
        <w:rPr>
          <w:rFonts w:ascii="mylotus" w:hAnsi="mylotus"/>
          <w:sz w:val="34"/>
          <w:szCs w:val="34"/>
          <w:rtl/>
        </w:rPr>
        <w:t>فإنه يقال لا</w:t>
      </w:r>
      <w:r>
        <w:rPr>
          <w:rFonts w:ascii="mylotus" w:hAnsi="mylotus" w:hint="cs"/>
          <w:sz w:val="34"/>
          <w:szCs w:val="34"/>
          <w:rtl/>
        </w:rPr>
        <w:t xml:space="preserve"> </w:t>
      </w:r>
      <w:r w:rsidRPr="00BF0FA5">
        <w:rPr>
          <w:rFonts w:ascii="mylotus" w:hAnsi="mylotus"/>
          <w:sz w:val="34"/>
          <w:szCs w:val="34"/>
          <w:rtl/>
        </w:rPr>
        <w:t>يتصور التفكيك عرفا</w:t>
      </w:r>
      <w:r>
        <w:rPr>
          <w:rFonts w:ascii="mylotus" w:hAnsi="mylotus" w:hint="cs"/>
          <w:sz w:val="34"/>
          <w:szCs w:val="34"/>
          <w:rtl/>
        </w:rPr>
        <w:t>ً</w:t>
      </w:r>
      <w:r w:rsidRPr="00BF0FA5">
        <w:rPr>
          <w:rFonts w:ascii="mylotus" w:hAnsi="mylotus"/>
          <w:sz w:val="34"/>
          <w:szCs w:val="34"/>
          <w:rtl/>
        </w:rPr>
        <w:t xml:space="preserve"> بين كون المتعلق مطلوبا</w:t>
      </w:r>
      <w:r>
        <w:rPr>
          <w:rFonts w:ascii="mylotus" w:hAnsi="mylotus" w:hint="cs"/>
          <w:sz w:val="34"/>
          <w:szCs w:val="34"/>
          <w:rtl/>
        </w:rPr>
        <w:t>ً</w:t>
      </w:r>
      <w:r w:rsidRPr="00BF0FA5">
        <w:rPr>
          <w:rFonts w:ascii="mylotus" w:hAnsi="mylotus"/>
          <w:sz w:val="34"/>
          <w:szCs w:val="34"/>
          <w:rtl/>
        </w:rPr>
        <w:t xml:space="preserve"> حقيقة</w:t>
      </w:r>
      <w:r>
        <w:rPr>
          <w:rFonts w:ascii="mylotus" w:hAnsi="mylotus" w:hint="cs"/>
          <w:sz w:val="34"/>
          <w:szCs w:val="34"/>
          <w:rtl/>
        </w:rPr>
        <w:t>ً</w:t>
      </w:r>
      <w:r w:rsidRPr="00BF0FA5">
        <w:rPr>
          <w:rFonts w:ascii="mylotus" w:hAnsi="mylotus"/>
          <w:sz w:val="34"/>
          <w:szCs w:val="34"/>
          <w:rtl/>
        </w:rPr>
        <w:t xml:space="preserve"> وواقعا</w:t>
      </w:r>
      <w:r>
        <w:rPr>
          <w:rFonts w:ascii="mylotus" w:hAnsi="mylotus" w:hint="cs"/>
          <w:sz w:val="34"/>
          <w:szCs w:val="34"/>
          <w:rtl/>
        </w:rPr>
        <w:t>ً</w:t>
      </w:r>
      <w:r w:rsidRPr="00BF0FA5">
        <w:rPr>
          <w:rFonts w:ascii="mylotus" w:hAnsi="mylotus"/>
          <w:sz w:val="34"/>
          <w:szCs w:val="34"/>
          <w:rtl/>
        </w:rPr>
        <w:t>، ومع ذلك لم يكن طلبه الحقيقي بداعي البعث بل بداعي الإعلام</w:t>
      </w:r>
      <w:r>
        <w:rPr>
          <w:rFonts w:ascii="mylotus" w:hAnsi="mylotus"/>
          <w:sz w:val="34"/>
          <w:szCs w:val="34"/>
          <w:rtl/>
        </w:rPr>
        <w:t>،</w:t>
      </w:r>
      <w:r w:rsidRPr="00BF0FA5">
        <w:rPr>
          <w:rFonts w:ascii="mylotus" w:hAnsi="mylotus"/>
          <w:sz w:val="34"/>
          <w:szCs w:val="34"/>
          <w:rtl/>
        </w:rPr>
        <w:t xml:space="preserve"> فإن الجمع بينهما نح</w:t>
      </w:r>
      <w:r>
        <w:rPr>
          <w:rFonts w:ascii="mylotus" w:hAnsi="mylotus"/>
          <w:sz w:val="34"/>
          <w:szCs w:val="34"/>
          <w:rtl/>
        </w:rPr>
        <w:t>و من الارتباك في تحديد المفهوم</w:t>
      </w:r>
      <w:r>
        <w:rPr>
          <w:rFonts w:ascii="mylotus" w:hAnsi="mylotus" w:hint="cs"/>
          <w:sz w:val="34"/>
          <w:szCs w:val="34"/>
          <w:rtl/>
        </w:rPr>
        <w:t>.</w:t>
      </w:r>
    </w:p>
    <w:p w14:paraId="608A9368" w14:textId="6692EAD5" w:rsidR="00BF0FA5" w:rsidRPr="00BF0FA5" w:rsidRDefault="00BF0FA5" w:rsidP="00BF0FA5">
      <w:pPr>
        <w:pStyle w:val="a0"/>
        <w:widowControl w:val="0"/>
        <w:bidi/>
        <w:spacing w:line="216" w:lineRule="auto"/>
        <w:rPr>
          <w:rFonts w:ascii="mylotus" w:hAnsi="mylotus"/>
          <w:sz w:val="34"/>
          <w:szCs w:val="34"/>
          <w:rtl/>
        </w:rPr>
      </w:pPr>
      <w:r>
        <w:rPr>
          <w:rFonts w:ascii="mylotus" w:hAnsi="mylotus" w:hint="cs"/>
          <w:b/>
          <w:bCs/>
          <w:sz w:val="34"/>
          <w:szCs w:val="34"/>
          <w:rtl/>
        </w:rPr>
        <w:t>ا</w:t>
      </w:r>
      <w:r w:rsidRPr="00BF0FA5">
        <w:rPr>
          <w:rFonts w:ascii="mylotus" w:hAnsi="mylotus"/>
          <w:b/>
          <w:bCs/>
          <w:sz w:val="34"/>
          <w:szCs w:val="34"/>
          <w:rtl/>
        </w:rPr>
        <w:t>لنظرية الثالثة -وهي الصحيحة-:</w:t>
      </w:r>
      <w:r w:rsidRPr="00BF0FA5">
        <w:rPr>
          <w:rFonts w:ascii="mylotus" w:hAnsi="mylotus"/>
          <w:sz w:val="34"/>
          <w:szCs w:val="34"/>
          <w:rtl/>
        </w:rPr>
        <w:t xml:space="preserve"> من أن النهي عنوان لحقيقة عرفية عقلائية إنشائية، وهي عبارة عن الزجر الإنشائي. والزجر الإنشائي يختلف باختلاف دواعيه، فقد يكون الزجر الإنشائي بداعي الردع، فيكون نهياً مولوياً، وقد يكون بداعي الإرشاد إلى شرطية أو جزئية أو مانعية، فهو نهي إرشادي. فكلاهما زجر إنشائي، وإنما الفارق بينهما في الداعي فقط. نظير ثبوت أمر (بعث إنشائي) لكن بداعي الامتحان، أو بداعي الاستخفاف، أو بداعي البعث. فهذا من قبيل اختلاف الدواعي، والمقسم واحد وهو البعث الإنشائي. كذلك في النهي، فإن المقسم واحد وهو الزجر الإنشائي، وإن اختلفت دواعيه</w:t>
      </w:r>
      <w:r w:rsidRPr="00BF0FA5">
        <w:rPr>
          <w:rFonts w:ascii="mylotus" w:hAnsi="mylotus"/>
          <w:sz w:val="34"/>
          <w:szCs w:val="34"/>
        </w:rPr>
        <w:t>.</w:t>
      </w:r>
    </w:p>
    <w:p w14:paraId="3F45D57F" w14:textId="77777777" w:rsidR="00BF0FA5" w:rsidRPr="00BF0FA5" w:rsidRDefault="00BF0FA5" w:rsidP="00BF0FA5">
      <w:pPr>
        <w:pStyle w:val="a0"/>
        <w:widowControl w:val="0"/>
        <w:bidi/>
        <w:spacing w:line="216" w:lineRule="auto"/>
        <w:rPr>
          <w:rFonts w:ascii="mylotus" w:hAnsi="mylotus"/>
          <w:sz w:val="34"/>
          <w:szCs w:val="34"/>
          <w:rtl/>
        </w:rPr>
      </w:pPr>
      <w:r w:rsidRPr="00BF0FA5">
        <w:rPr>
          <w:rFonts w:ascii="mylotus" w:hAnsi="mylotus"/>
          <w:b/>
          <w:bCs/>
          <w:sz w:val="34"/>
          <w:szCs w:val="34"/>
          <w:rtl/>
        </w:rPr>
        <w:t>المقام الثاني:</w:t>
      </w:r>
      <w:r w:rsidRPr="00BF0FA5">
        <w:rPr>
          <w:rFonts w:ascii="mylotus" w:hAnsi="mylotus"/>
          <w:sz w:val="34"/>
          <w:szCs w:val="34"/>
          <w:rtl/>
        </w:rPr>
        <w:t xml:space="preserve"> ما هو الأصل؟ هل الأصل هو المولوية، والإرشادية تحتاج إلى مبرر؟ أم الأصل الإرشادية، والمولوية تحتاج إلى مبرر؟ أم كلاهما في عرض واحد؟</w:t>
      </w:r>
    </w:p>
    <w:p w14:paraId="751C455F" w14:textId="77777777" w:rsidR="00BF0FA5" w:rsidRPr="00BF0FA5" w:rsidRDefault="00BF0FA5" w:rsidP="00BF0FA5">
      <w:pPr>
        <w:pStyle w:val="a0"/>
        <w:widowControl w:val="0"/>
        <w:bidi/>
        <w:spacing w:line="216" w:lineRule="auto"/>
        <w:rPr>
          <w:rFonts w:ascii="mylotus" w:hAnsi="mylotus"/>
          <w:b/>
          <w:bCs/>
          <w:sz w:val="34"/>
          <w:szCs w:val="34"/>
          <w:rtl/>
        </w:rPr>
      </w:pPr>
      <w:r w:rsidRPr="00BF0FA5">
        <w:rPr>
          <w:rFonts w:ascii="mylotus" w:hAnsi="mylotus"/>
          <w:b/>
          <w:bCs/>
          <w:sz w:val="34"/>
          <w:szCs w:val="34"/>
          <w:rtl/>
        </w:rPr>
        <w:t>فهنا ثلاث نظريات</w:t>
      </w:r>
      <w:r w:rsidRPr="00BF0FA5">
        <w:rPr>
          <w:rFonts w:ascii="mylotus" w:hAnsi="mylotus"/>
          <w:b/>
          <w:bCs/>
          <w:sz w:val="34"/>
          <w:szCs w:val="34"/>
        </w:rPr>
        <w:t>:</w:t>
      </w:r>
    </w:p>
    <w:p w14:paraId="589E3E5A" w14:textId="3AA3481D" w:rsidR="00BF0FA5" w:rsidRPr="00BF0FA5" w:rsidRDefault="00BF0FA5" w:rsidP="00BF0FA5">
      <w:pPr>
        <w:pStyle w:val="a0"/>
        <w:widowControl w:val="0"/>
        <w:bidi/>
        <w:spacing w:line="216" w:lineRule="auto"/>
        <w:rPr>
          <w:rFonts w:ascii="mylotus" w:hAnsi="mylotus"/>
          <w:sz w:val="34"/>
          <w:szCs w:val="34"/>
          <w:rtl/>
        </w:rPr>
      </w:pPr>
      <w:r w:rsidRPr="00BF0FA5">
        <w:rPr>
          <w:rFonts w:ascii="mylotus" w:hAnsi="mylotus"/>
          <w:b/>
          <w:bCs/>
          <w:sz w:val="34"/>
          <w:szCs w:val="34"/>
          <w:rtl/>
        </w:rPr>
        <w:t>النظرية الأولى:</w:t>
      </w:r>
      <w:r w:rsidRPr="00BF0FA5">
        <w:rPr>
          <w:rFonts w:ascii="mylotus" w:hAnsi="mylotus"/>
          <w:sz w:val="34"/>
          <w:szCs w:val="34"/>
          <w:rtl/>
        </w:rPr>
        <w:t xml:space="preserve"> ما هو المشهور -ومنهم سيدنا الخوئي قدس سره الشريف- من أن المولوية هي الأصل. فإن ما يصدر من المولى ظاهر بقرينة مقتضى الحال في أنه صادر عنه بما هو مولى، لا بما هو مرشد. فإذا قال المولى مثلاً: (لا تصم يوم عاشوراء)، ولا يعلم هل النهي إرشادي أو مول</w:t>
      </w:r>
      <w:r>
        <w:rPr>
          <w:rFonts w:ascii="mylotus" w:hAnsi="mylotus"/>
          <w:sz w:val="34"/>
          <w:szCs w:val="34"/>
          <w:rtl/>
        </w:rPr>
        <w:t>وي؟ فإن الظاهر منه بقرينة الحال</w:t>
      </w:r>
      <w:r w:rsidRPr="00BF0FA5">
        <w:rPr>
          <w:rFonts w:ascii="mylotus" w:hAnsi="mylotus"/>
          <w:sz w:val="34"/>
          <w:szCs w:val="34"/>
          <w:rtl/>
        </w:rPr>
        <w:t xml:space="preserve"> أنه صادر من المولى بما هو مولى، أي على نحو إعمال المولوية بالبعث أو الزجر الحقيقي، وأما حمله على أنه صادر منه على الإرشاد، فهو مما يحتاج إلى القرينة والمبرر العقلائي</w:t>
      </w:r>
      <w:r w:rsidRPr="00BF0FA5">
        <w:rPr>
          <w:rFonts w:ascii="mylotus" w:hAnsi="mylotus"/>
          <w:sz w:val="34"/>
          <w:szCs w:val="34"/>
        </w:rPr>
        <w:t>.</w:t>
      </w:r>
    </w:p>
    <w:p w14:paraId="49CAF1D0" w14:textId="77777777" w:rsidR="00BF0FA5" w:rsidRPr="00BF0FA5" w:rsidRDefault="00BF0FA5" w:rsidP="00BF0FA5">
      <w:pPr>
        <w:pStyle w:val="a0"/>
        <w:widowControl w:val="0"/>
        <w:bidi/>
        <w:spacing w:line="216" w:lineRule="auto"/>
        <w:rPr>
          <w:rFonts w:ascii="mylotus" w:hAnsi="mylotus"/>
          <w:sz w:val="34"/>
          <w:szCs w:val="34"/>
          <w:rtl/>
        </w:rPr>
      </w:pPr>
      <w:r w:rsidRPr="00BF0FA5">
        <w:rPr>
          <w:rFonts w:ascii="mylotus" w:hAnsi="mylotus"/>
          <w:b/>
          <w:bCs/>
          <w:sz w:val="34"/>
          <w:szCs w:val="34"/>
          <w:rtl/>
        </w:rPr>
        <w:t>ولكن يلاحظ على ذلك:</w:t>
      </w:r>
      <w:r w:rsidRPr="00BF0FA5">
        <w:rPr>
          <w:rFonts w:ascii="mylotus" w:hAnsi="mylotus"/>
          <w:sz w:val="34"/>
          <w:szCs w:val="34"/>
          <w:rtl/>
        </w:rPr>
        <w:t xml:space="preserve"> أنه لا فرق بينهما في أنه صادر عن المولى بما هو مولى. إذ كما أن من شأن المولى بما هو مولى أن يبعث ويردع، كذلك من شأن المولى بما هو مولى أن يرشد، لأن ما يرشد إليه المولى بما هو مولى يختلف عما يرشد إليه العقلاء بما هم عقلاء، حيث إن المولى أعرف بحدود تشريعاته، وأحكامه، وقوانينه. فبما أنه أعرف بحدودها فقد يصدر منه بما هو مولى الإرشاد إلى حدود متعلقات </w:t>
      </w:r>
      <w:r w:rsidRPr="00BF0FA5">
        <w:rPr>
          <w:rFonts w:ascii="mylotus" w:hAnsi="mylotus"/>
          <w:sz w:val="34"/>
          <w:szCs w:val="34"/>
          <w:rtl/>
        </w:rPr>
        <w:lastRenderedPageBreak/>
        <w:t>تكاليفه وموضوع أحكامه، فكلاهما من هذه الحيثية على حد سواء</w:t>
      </w:r>
      <w:r w:rsidRPr="00BF0FA5">
        <w:rPr>
          <w:rFonts w:ascii="mylotus" w:hAnsi="mylotus"/>
          <w:sz w:val="34"/>
          <w:szCs w:val="34"/>
        </w:rPr>
        <w:t>.</w:t>
      </w:r>
    </w:p>
    <w:p w14:paraId="09ABA0B7" w14:textId="1704FEDE" w:rsidR="00BF0FA5" w:rsidRPr="00BF0FA5" w:rsidRDefault="00BF0FA5" w:rsidP="00BF0FA5">
      <w:pPr>
        <w:pStyle w:val="a0"/>
        <w:widowControl w:val="0"/>
        <w:bidi/>
        <w:spacing w:line="216" w:lineRule="auto"/>
        <w:rPr>
          <w:rFonts w:ascii="mylotus" w:hAnsi="mylotus"/>
          <w:sz w:val="34"/>
          <w:szCs w:val="34"/>
          <w:rtl/>
        </w:rPr>
      </w:pPr>
      <w:r w:rsidRPr="00BF0FA5">
        <w:rPr>
          <w:rFonts w:ascii="mylotus" w:hAnsi="mylotus"/>
          <w:b/>
          <w:bCs/>
          <w:sz w:val="34"/>
          <w:szCs w:val="34"/>
          <w:rtl/>
        </w:rPr>
        <w:t>النظرية الثانية:</w:t>
      </w:r>
      <w:r w:rsidRPr="00BF0FA5">
        <w:rPr>
          <w:rFonts w:ascii="mylotus" w:hAnsi="mylotus"/>
          <w:sz w:val="34"/>
          <w:szCs w:val="34"/>
          <w:rtl/>
        </w:rPr>
        <w:t xml:space="preserve"> ما ذهب إليه السيد الأستاذ مد ظله الشريف خلافاً لما هو المشهور بين الأصوليين، من أن الأصل في نوع من</w:t>
      </w:r>
      <w:r>
        <w:rPr>
          <w:rFonts w:ascii="mylotus" w:hAnsi="mylotus"/>
          <w:sz w:val="34"/>
          <w:szCs w:val="34"/>
          <w:rtl/>
        </w:rPr>
        <w:t xml:space="preserve"> </w:t>
      </w:r>
      <w:r w:rsidRPr="00BF0FA5">
        <w:rPr>
          <w:rFonts w:ascii="mylotus" w:hAnsi="mylotus"/>
          <w:sz w:val="34"/>
          <w:szCs w:val="34"/>
          <w:rtl/>
        </w:rPr>
        <w:t>الأمر</w:t>
      </w:r>
      <w:r>
        <w:rPr>
          <w:rFonts w:ascii="mylotus" w:hAnsi="mylotus"/>
          <w:sz w:val="34"/>
          <w:szCs w:val="34"/>
          <w:rtl/>
        </w:rPr>
        <w:t xml:space="preserve"> </w:t>
      </w:r>
      <w:r w:rsidRPr="00BF0FA5">
        <w:rPr>
          <w:rFonts w:ascii="mylotus" w:hAnsi="mylotus"/>
          <w:sz w:val="34"/>
          <w:szCs w:val="34"/>
          <w:rtl/>
        </w:rPr>
        <w:t>هو الإرشاد، والمولوية هي التي تحتاج إلى القرينة. كما ذكر [في منار العروة الوثقى - كتاب الصوم ج2 ص354</w:t>
      </w:r>
      <w:r>
        <w:rPr>
          <w:rFonts w:ascii="mylotus" w:hAnsi="mylotus" w:hint="cs"/>
          <w:sz w:val="34"/>
          <w:szCs w:val="34"/>
          <w:rtl/>
        </w:rPr>
        <w:t>].</w:t>
      </w:r>
    </w:p>
    <w:p w14:paraId="18415264" w14:textId="626945B0" w:rsidR="00BF0FA5" w:rsidRPr="00BF0FA5" w:rsidRDefault="00BF0FA5" w:rsidP="00BF0FA5">
      <w:pPr>
        <w:pStyle w:val="a0"/>
        <w:widowControl w:val="0"/>
        <w:bidi/>
        <w:spacing w:line="216" w:lineRule="auto"/>
        <w:rPr>
          <w:rFonts w:ascii="mylotus" w:hAnsi="mylotus"/>
          <w:sz w:val="34"/>
          <w:szCs w:val="34"/>
          <w:rtl/>
        </w:rPr>
      </w:pPr>
      <w:r w:rsidRPr="00BF0FA5">
        <w:rPr>
          <w:rFonts w:ascii="mylotus" w:hAnsi="mylotus"/>
          <w:sz w:val="34"/>
          <w:szCs w:val="34"/>
          <w:rtl/>
        </w:rPr>
        <w:t>وتقريب ذلك: أن ظه</w:t>
      </w:r>
      <w:r>
        <w:rPr>
          <w:rFonts w:ascii="mylotus" w:hAnsi="mylotus"/>
          <w:sz w:val="34"/>
          <w:szCs w:val="34"/>
          <w:rtl/>
        </w:rPr>
        <w:t>ور الأمر -الوارد في المركبات ال</w:t>
      </w:r>
      <w:r>
        <w:rPr>
          <w:rFonts w:ascii="mylotus" w:hAnsi="mylotus" w:hint="cs"/>
          <w:sz w:val="34"/>
          <w:szCs w:val="34"/>
          <w:rtl/>
        </w:rPr>
        <w:t>ا</w:t>
      </w:r>
      <w:r w:rsidRPr="00BF0FA5">
        <w:rPr>
          <w:rFonts w:ascii="mylotus" w:hAnsi="mylotus"/>
          <w:sz w:val="34"/>
          <w:szCs w:val="34"/>
          <w:rtl/>
        </w:rPr>
        <w:t>عتبارية التي هي من متعلقات الأوامر أو من موضوعات الآثار القانونية في باب المعاملات- في الإرشاد هو مقتضى القاعدة لإحدى نكتتين</w:t>
      </w:r>
      <w:r w:rsidRPr="00BF0FA5">
        <w:rPr>
          <w:rFonts w:ascii="mylotus" w:hAnsi="mylotus"/>
          <w:sz w:val="34"/>
          <w:szCs w:val="34"/>
        </w:rPr>
        <w:t>:</w:t>
      </w:r>
    </w:p>
    <w:p w14:paraId="1450D211" w14:textId="77777777" w:rsidR="00BF0FA5" w:rsidRDefault="00BF0FA5" w:rsidP="00BF0FA5">
      <w:pPr>
        <w:pStyle w:val="a0"/>
        <w:widowControl w:val="0"/>
        <w:bidi/>
        <w:spacing w:line="216" w:lineRule="auto"/>
        <w:rPr>
          <w:rFonts w:ascii="mylotus" w:hAnsi="mylotus" w:hint="cs"/>
          <w:sz w:val="34"/>
          <w:szCs w:val="34"/>
          <w:rtl/>
        </w:rPr>
      </w:pPr>
      <w:r w:rsidRPr="00BF0FA5">
        <w:rPr>
          <w:rFonts w:ascii="mylotus" w:hAnsi="mylotus"/>
          <w:b/>
          <w:bCs/>
          <w:sz w:val="34"/>
          <w:szCs w:val="34"/>
          <w:rtl/>
        </w:rPr>
        <w:t>النكتة الأولى:</w:t>
      </w:r>
      <w:r w:rsidRPr="00BF0FA5">
        <w:rPr>
          <w:rFonts w:ascii="mylotus" w:hAnsi="mylotus"/>
          <w:sz w:val="34"/>
          <w:szCs w:val="34"/>
          <w:rtl/>
        </w:rPr>
        <w:t xml:space="preserve"> أن انصراف الأمر أو النهي إلى ما هو معناه العرفي في الإرشادي على طبق القاعدة العرفية، وهي: تفاعل الكلام بالملابسات المحيطة به، وهي التي عبر عنها الأعلام </w:t>
      </w:r>
      <w:proofErr w:type="spellStart"/>
      <w:r w:rsidRPr="00BF0FA5">
        <w:rPr>
          <w:rFonts w:ascii="mylotus" w:hAnsi="mylotus"/>
          <w:sz w:val="34"/>
          <w:szCs w:val="34"/>
          <w:rtl/>
        </w:rPr>
        <w:t>باحتفاف</w:t>
      </w:r>
      <w:proofErr w:type="spellEnd"/>
      <w:r w:rsidRPr="00BF0FA5">
        <w:rPr>
          <w:rFonts w:ascii="mylotus" w:hAnsi="mylotus"/>
          <w:sz w:val="34"/>
          <w:szCs w:val="34"/>
          <w:rtl/>
        </w:rPr>
        <w:t xml:space="preserve"> الكلام بالقرائن أو ما يصلح للقرينية عليه. وتوضيحه: أن الأمر أو النهي </w:t>
      </w:r>
      <w:r>
        <w:rPr>
          <w:rFonts w:ascii="mylotus" w:hAnsi="mylotus"/>
          <w:sz w:val="34"/>
          <w:szCs w:val="34"/>
          <w:rtl/>
        </w:rPr>
        <w:t>الصادر من المقنن في المركبات ال</w:t>
      </w:r>
      <w:r>
        <w:rPr>
          <w:rFonts w:ascii="mylotus" w:hAnsi="mylotus" w:hint="cs"/>
          <w:sz w:val="34"/>
          <w:szCs w:val="34"/>
          <w:rtl/>
        </w:rPr>
        <w:t>ا</w:t>
      </w:r>
      <w:r w:rsidRPr="00BF0FA5">
        <w:rPr>
          <w:rFonts w:ascii="mylotus" w:hAnsi="mylotus"/>
          <w:sz w:val="34"/>
          <w:szCs w:val="34"/>
          <w:rtl/>
        </w:rPr>
        <w:t>عتبارية يكون مسبوقاً بغرض في ذهن المخاطب. فبما أن هناك غرضاً في ذهن المخاطب فإن كان الخطاب ناظراً لذلك الغرض الموجود في ذهن المخاطب كان مقتضى تفاعل الكلام بالملابسات المحيطة به انصراف الخطاب إلى بيان اشتراط الغرض الموجود في ذهن المخاطب بتحقيق متعلق الأمر أو النهي. فإذا قال في متعلقات الأحكام: (لا تصل في ما لا يؤكل لحمه)، فالغرض الذي في ذهن المخاطب هو براءة ذمته مما أمر به. فإن كل مكلف مسلم من أغراضه الأساسية براءة ذمته مما كلف به، فإذا جاء الخطاب ناظراً لهذا الغرض، فكأنه قال:(إن الغرض -وهو براءة الذمة مما كلفت به- لا يتحقق إلا بترك التستر بما يؤكل لحمه)، أو (إن كنت تريد براءة ذمتك من الصلاة المأمور بها فلا تتستر بما لا يؤكل لحمه)، فهو إرشاد إلى اشتراط الغرض بترك المنهي عنه، أو اشتراط الغرض بتحقيق المأمور به. وكذلك في موضوعات الأحكام، كما لو قال مثلاً: (لا تبع ما ليس عندك)، فإن البيع موضوع للملكية، وهناك غرض في ذهن المخاطب وهو التوصل للآثار القانونية عبر الحدود الشرعية. فإذا جاء في إطار هذا الغرض قوله: (لا تبع ما ليس عندك)، فإن ظاهره اشتراط حصول الغرض-وهو التسبب للآثار القانونية- بترك المنهي عنه في البيع، وهو بيع ما لا قدرة له على تسليمه. وهكذا سائر موارد الأحكام الإرشادية</w:t>
      </w:r>
      <w:r w:rsidRPr="00BF0FA5">
        <w:rPr>
          <w:rFonts w:ascii="mylotus" w:hAnsi="mylotus"/>
          <w:sz w:val="34"/>
          <w:szCs w:val="34"/>
        </w:rPr>
        <w:t>.</w:t>
      </w:r>
    </w:p>
    <w:p w14:paraId="05BC6658" w14:textId="72F9A3C5" w:rsidR="00BF0FA5" w:rsidRPr="00BF0FA5" w:rsidRDefault="00BF0FA5" w:rsidP="00BF0FA5">
      <w:pPr>
        <w:pStyle w:val="a0"/>
        <w:widowControl w:val="0"/>
        <w:bidi/>
        <w:spacing w:line="216" w:lineRule="auto"/>
        <w:rPr>
          <w:rFonts w:ascii="mylotus" w:hAnsi="mylotus"/>
          <w:sz w:val="34"/>
          <w:szCs w:val="34"/>
          <w:rtl/>
        </w:rPr>
      </w:pPr>
      <w:r w:rsidRPr="00BF0FA5">
        <w:rPr>
          <w:rFonts w:ascii="mylotus" w:hAnsi="mylotus"/>
          <w:sz w:val="34"/>
          <w:szCs w:val="34"/>
          <w:rtl/>
        </w:rPr>
        <w:t>وأما إذا لم يكن الخطاب ناظراً للغرض المعهود، بل كان تأسيساً لمطلوب جديد فهو التكليف المولوي، سواء كان أمراً أو نهياً،</w:t>
      </w:r>
      <w:r>
        <w:rPr>
          <w:rFonts w:ascii="mylotus" w:hAnsi="mylotus"/>
          <w:sz w:val="34"/>
          <w:szCs w:val="34"/>
          <w:rtl/>
        </w:rPr>
        <w:t xml:space="preserve"> </w:t>
      </w:r>
      <w:r w:rsidRPr="00BF0FA5">
        <w:rPr>
          <w:rFonts w:ascii="mylotus" w:hAnsi="mylotus"/>
          <w:sz w:val="34"/>
          <w:szCs w:val="34"/>
          <w:rtl/>
        </w:rPr>
        <w:t>فبما أنه إنشاء ابتدائي احتاج إلى مصحح عقلائي أو عرفي في ظهوره في كونه صادراً بداعي البعث أو الردع، كي يكون ذلك المبرر موجباً لانصرافه له</w:t>
      </w:r>
      <w:r w:rsidRPr="00BF0FA5">
        <w:rPr>
          <w:rFonts w:ascii="mylotus" w:hAnsi="mylotus"/>
          <w:sz w:val="34"/>
          <w:szCs w:val="34"/>
        </w:rPr>
        <w:t>.</w:t>
      </w:r>
    </w:p>
    <w:p w14:paraId="27AEF545" w14:textId="77777777" w:rsidR="00BF0FA5" w:rsidRPr="00BF0FA5" w:rsidRDefault="00BF0FA5" w:rsidP="00BF0FA5">
      <w:pPr>
        <w:pStyle w:val="a0"/>
        <w:widowControl w:val="0"/>
        <w:bidi/>
        <w:spacing w:line="216" w:lineRule="auto"/>
        <w:rPr>
          <w:rFonts w:ascii="mylotus" w:hAnsi="mylotus"/>
          <w:sz w:val="34"/>
          <w:szCs w:val="34"/>
          <w:rtl/>
        </w:rPr>
      </w:pPr>
      <w:r w:rsidRPr="00BF0FA5">
        <w:rPr>
          <w:rFonts w:ascii="mylotus" w:hAnsi="mylotus"/>
          <w:b/>
          <w:bCs/>
          <w:sz w:val="34"/>
          <w:szCs w:val="34"/>
          <w:rtl/>
        </w:rPr>
        <w:lastRenderedPageBreak/>
        <w:t>والنتيجة:</w:t>
      </w:r>
      <w:r w:rsidRPr="00BF0FA5">
        <w:rPr>
          <w:rFonts w:ascii="mylotus" w:hAnsi="mylotus"/>
          <w:sz w:val="34"/>
          <w:szCs w:val="34"/>
          <w:rtl/>
        </w:rPr>
        <w:t xml:space="preserve"> أن ظهور الإرشادي في معناه العرفي وهو تنقيح شروط الغرض المعهود على طبق القاعدة، بينما ظهور المولوي في معناه العرفي وهو البعث والزجر بداعي التحريك أو الردع حيث لم يستند للملابسات المحيطة بالكلام فهو محتاج للمبرر العرفي، ومن هنا كان الأصل هو الإرشادية</w:t>
      </w:r>
      <w:r w:rsidRPr="00BF0FA5">
        <w:rPr>
          <w:rFonts w:ascii="mylotus" w:hAnsi="mylotus"/>
          <w:sz w:val="34"/>
          <w:szCs w:val="34"/>
        </w:rPr>
        <w:t>.</w:t>
      </w:r>
    </w:p>
    <w:p w14:paraId="0C00D5C3" w14:textId="77777777" w:rsidR="008E2CCC" w:rsidRDefault="008E2CCC" w:rsidP="00BF0FA5">
      <w:pPr>
        <w:pStyle w:val="a0"/>
        <w:widowControl w:val="0"/>
        <w:bidi/>
        <w:spacing w:line="216" w:lineRule="auto"/>
        <w:rPr>
          <w:rFonts w:ascii="mylotus" w:hAnsi="mylotus"/>
          <w:sz w:val="34"/>
          <w:szCs w:val="34"/>
          <w:rtl/>
          <w:lang w:bidi="ar-IQ"/>
        </w:rPr>
      </w:pPr>
    </w:p>
    <w:p w14:paraId="2D24CFF0" w14:textId="57885871" w:rsidR="001F034F" w:rsidRPr="005F7776" w:rsidRDefault="00E706A4" w:rsidP="00BF0FA5">
      <w:pPr>
        <w:pStyle w:val="a0"/>
        <w:widowControl w:val="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9D4D14" w14:textId="77777777" w:rsidR="00C53BA5" w:rsidRDefault="00C53BA5" w:rsidP="00A5027D">
      <w:pPr>
        <w:spacing w:line="240" w:lineRule="auto"/>
      </w:pPr>
      <w:r>
        <w:separator/>
      </w:r>
    </w:p>
  </w:endnote>
  <w:endnote w:type="continuationSeparator" w:id="0">
    <w:p w14:paraId="3BBE7561" w14:textId="77777777" w:rsidR="00C53BA5" w:rsidRDefault="00C53BA5"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690B38" w14:textId="77777777" w:rsidR="00BF0FA5" w:rsidRDefault="00BF0FA5">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BF0FA5" w:rsidRPr="00BF0FA5">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69E8C8" w14:textId="77777777" w:rsidR="00BF0FA5" w:rsidRDefault="00BF0FA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822548" w14:textId="77777777" w:rsidR="00C53BA5" w:rsidRDefault="00C53BA5" w:rsidP="00A5027D">
      <w:pPr>
        <w:spacing w:line="240" w:lineRule="auto"/>
      </w:pPr>
      <w:r>
        <w:separator/>
      </w:r>
    </w:p>
  </w:footnote>
  <w:footnote w:type="continuationSeparator" w:id="0">
    <w:p w14:paraId="12BCBB72" w14:textId="77777777" w:rsidR="00C53BA5" w:rsidRDefault="00C53BA5"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D0FD10" w14:textId="77777777" w:rsidR="00BF0FA5" w:rsidRDefault="00BF0FA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5B14171F" w:rsidR="00B07F43" w:rsidRPr="005F7776" w:rsidRDefault="00B07F43" w:rsidP="005C07B7">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5C07B7">
      <w:rPr>
        <w:rFonts w:ascii="mylotus" w:hAnsi="mylotus" w:cs="mylotus" w:hint="cs"/>
        <w:color w:val="FF0000"/>
        <w:sz w:val="26"/>
        <w:szCs w:val="26"/>
        <w:rtl/>
      </w:rPr>
      <w:t>5</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5C07B7">
      <w:rPr>
        <w:rFonts w:ascii="mylotus" w:hAnsi="mylotus" w:cs="mylotus" w:hint="cs"/>
        <w:color w:val="FF0000"/>
        <w:sz w:val="26"/>
        <w:szCs w:val="26"/>
        <w:rtl/>
      </w:rPr>
      <w:t>أربعاء</w:t>
    </w:r>
    <w:r w:rsidRPr="005F7776">
      <w:rPr>
        <w:rFonts w:ascii="mylotus" w:hAnsi="mylotus" w:cs="mylotus"/>
        <w:color w:val="FF0000"/>
        <w:sz w:val="26"/>
        <w:szCs w:val="26"/>
        <w:rtl/>
      </w:rPr>
      <w:t xml:space="preserve"> </w:t>
    </w:r>
    <w:r w:rsidR="005C07B7">
      <w:rPr>
        <w:rFonts w:ascii="mylotus" w:hAnsi="mylotus" w:cs="mylotus" w:hint="cs"/>
        <w:color w:val="FF0000"/>
        <w:sz w:val="26"/>
        <w:szCs w:val="26"/>
        <w:rtl/>
      </w:rPr>
      <w:t>4</w:t>
    </w:r>
    <w:r w:rsidR="008469EC">
      <w:rPr>
        <w:rFonts w:ascii="mylotus" w:hAnsi="mylotus" w:cs="mylotus"/>
        <w:color w:val="FF0000"/>
        <w:sz w:val="26"/>
        <w:szCs w:val="26"/>
        <w:rtl/>
      </w:rPr>
      <w:t xml:space="preserve"> </w:t>
    </w:r>
    <w:r w:rsidR="007A0B9A">
      <w:rPr>
        <w:rFonts w:ascii="mylotus" w:hAnsi="mylotus" w:cs="mylotus" w:hint="cs"/>
        <w:color w:val="FF0000"/>
        <w:sz w:val="26"/>
        <w:szCs w:val="26"/>
        <w:rtl/>
      </w:rPr>
      <w:t xml:space="preserve">ربيع الثاني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BF0FA5">
      <w:rPr>
        <w:rFonts w:ascii="mylotus" w:hAnsi="mylotus" w:cs="mylotus" w:hint="cs"/>
        <w:color w:val="FF0000"/>
        <w:sz w:val="26"/>
        <w:szCs w:val="26"/>
        <w:rtl/>
      </w:rPr>
      <w:t xml:space="preserve">                                                          </w:t>
    </w:r>
    <w:bookmarkStart w:id="0" w:name="_GoBack"/>
    <w:bookmarkEnd w:id="0"/>
    <w:r w:rsidR="00BF0FA5">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A91976" w14:textId="77777777" w:rsidR="00BF0FA5" w:rsidRDefault="00BF0FA5">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19E4"/>
    <w:rsid w:val="00012B79"/>
    <w:rsid w:val="00014663"/>
    <w:rsid w:val="00014E51"/>
    <w:rsid w:val="0003362C"/>
    <w:rsid w:val="00054F91"/>
    <w:rsid w:val="000634C0"/>
    <w:rsid w:val="00075B8F"/>
    <w:rsid w:val="00085C01"/>
    <w:rsid w:val="000868A0"/>
    <w:rsid w:val="000C2631"/>
    <w:rsid w:val="000F2D22"/>
    <w:rsid w:val="00102391"/>
    <w:rsid w:val="00104288"/>
    <w:rsid w:val="00111AE8"/>
    <w:rsid w:val="00116171"/>
    <w:rsid w:val="00126819"/>
    <w:rsid w:val="001700E2"/>
    <w:rsid w:val="0018506F"/>
    <w:rsid w:val="00190CDF"/>
    <w:rsid w:val="001B36AE"/>
    <w:rsid w:val="001B7AAB"/>
    <w:rsid w:val="001D2C21"/>
    <w:rsid w:val="001D40F0"/>
    <w:rsid w:val="001E7758"/>
    <w:rsid w:val="001F034F"/>
    <w:rsid w:val="001F6237"/>
    <w:rsid w:val="002220AA"/>
    <w:rsid w:val="00225C1C"/>
    <w:rsid w:val="002339F1"/>
    <w:rsid w:val="002438AD"/>
    <w:rsid w:val="0024499D"/>
    <w:rsid w:val="002530E6"/>
    <w:rsid w:val="00257474"/>
    <w:rsid w:val="00294D72"/>
    <w:rsid w:val="002951F9"/>
    <w:rsid w:val="002A79FA"/>
    <w:rsid w:val="002B4E62"/>
    <w:rsid w:val="002C3704"/>
    <w:rsid w:val="002D0D9E"/>
    <w:rsid w:val="002D2D63"/>
    <w:rsid w:val="002D4AF5"/>
    <w:rsid w:val="002F1501"/>
    <w:rsid w:val="00316628"/>
    <w:rsid w:val="003228E8"/>
    <w:rsid w:val="00331615"/>
    <w:rsid w:val="00341791"/>
    <w:rsid w:val="0035443E"/>
    <w:rsid w:val="0035715B"/>
    <w:rsid w:val="003A0D7F"/>
    <w:rsid w:val="003A4C77"/>
    <w:rsid w:val="003C27B3"/>
    <w:rsid w:val="003C5C22"/>
    <w:rsid w:val="003E28FC"/>
    <w:rsid w:val="003F635C"/>
    <w:rsid w:val="00402155"/>
    <w:rsid w:val="00416FF8"/>
    <w:rsid w:val="00417B1F"/>
    <w:rsid w:val="00426274"/>
    <w:rsid w:val="00434EF0"/>
    <w:rsid w:val="004417B4"/>
    <w:rsid w:val="00444116"/>
    <w:rsid w:val="00463804"/>
    <w:rsid w:val="004713E0"/>
    <w:rsid w:val="00487DED"/>
    <w:rsid w:val="004B03A0"/>
    <w:rsid w:val="004B14A5"/>
    <w:rsid w:val="004B76A6"/>
    <w:rsid w:val="004C2054"/>
    <w:rsid w:val="004D6F7D"/>
    <w:rsid w:val="0050790C"/>
    <w:rsid w:val="0051676D"/>
    <w:rsid w:val="00524E83"/>
    <w:rsid w:val="005365F6"/>
    <w:rsid w:val="00560065"/>
    <w:rsid w:val="00560F51"/>
    <w:rsid w:val="0058437E"/>
    <w:rsid w:val="00591778"/>
    <w:rsid w:val="00595632"/>
    <w:rsid w:val="005A573C"/>
    <w:rsid w:val="005C07B7"/>
    <w:rsid w:val="005D1880"/>
    <w:rsid w:val="005D3B52"/>
    <w:rsid w:val="005F0F6F"/>
    <w:rsid w:val="005F70FF"/>
    <w:rsid w:val="005F7776"/>
    <w:rsid w:val="0060278A"/>
    <w:rsid w:val="00612084"/>
    <w:rsid w:val="006254BE"/>
    <w:rsid w:val="006333B1"/>
    <w:rsid w:val="00637DBE"/>
    <w:rsid w:val="00646A5D"/>
    <w:rsid w:val="00652CA2"/>
    <w:rsid w:val="0067710E"/>
    <w:rsid w:val="00683B86"/>
    <w:rsid w:val="00694C4A"/>
    <w:rsid w:val="00696BDC"/>
    <w:rsid w:val="006A3CD3"/>
    <w:rsid w:val="006C341E"/>
    <w:rsid w:val="006C6C7F"/>
    <w:rsid w:val="006C6EC9"/>
    <w:rsid w:val="006D031B"/>
    <w:rsid w:val="006D0642"/>
    <w:rsid w:val="006D6E7E"/>
    <w:rsid w:val="006E1B18"/>
    <w:rsid w:val="006F6650"/>
    <w:rsid w:val="00700C70"/>
    <w:rsid w:val="00701077"/>
    <w:rsid w:val="00701E4F"/>
    <w:rsid w:val="007237A9"/>
    <w:rsid w:val="007310D4"/>
    <w:rsid w:val="00732DB7"/>
    <w:rsid w:val="00740CF8"/>
    <w:rsid w:val="00753B14"/>
    <w:rsid w:val="0076539C"/>
    <w:rsid w:val="00776E98"/>
    <w:rsid w:val="00781258"/>
    <w:rsid w:val="00790D4D"/>
    <w:rsid w:val="00791C2B"/>
    <w:rsid w:val="007926E8"/>
    <w:rsid w:val="007A0B9A"/>
    <w:rsid w:val="007A1A5D"/>
    <w:rsid w:val="007A59E2"/>
    <w:rsid w:val="007B25DF"/>
    <w:rsid w:val="007B2E20"/>
    <w:rsid w:val="007C2601"/>
    <w:rsid w:val="007D0826"/>
    <w:rsid w:val="007D2646"/>
    <w:rsid w:val="007D2DF4"/>
    <w:rsid w:val="007D3C58"/>
    <w:rsid w:val="007D6129"/>
    <w:rsid w:val="007E4A75"/>
    <w:rsid w:val="007F2A1F"/>
    <w:rsid w:val="00836BC1"/>
    <w:rsid w:val="008469EC"/>
    <w:rsid w:val="00850894"/>
    <w:rsid w:val="00852165"/>
    <w:rsid w:val="00861F42"/>
    <w:rsid w:val="00886478"/>
    <w:rsid w:val="0089362A"/>
    <w:rsid w:val="00895528"/>
    <w:rsid w:val="008A7669"/>
    <w:rsid w:val="008B2BF2"/>
    <w:rsid w:val="008B5436"/>
    <w:rsid w:val="008B5A1B"/>
    <w:rsid w:val="008B6C9C"/>
    <w:rsid w:val="008C18BC"/>
    <w:rsid w:val="008C59F7"/>
    <w:rsid w:val="008D0522"/>
    <w:rsid w:val="008D1AF3"/>
    <w:rsid w:val="008D2DBE"/>
    <w:rsid w:val="008E10C9"/>
    <w:rsid w:val="008E2CCC"/>
    <w:rsid w:val="009076DD"/>
    <w:rsid w:val="009153E5"/>
    <w:rsid w:val="00916630"/>
    <w:rsid w:val="00946D46"/>
    <w:rsid w:val="00950CF6"/>
    <w:rsid w:val="00952DCA"/>
    <w:rsid w:val="0095312D"/>
    <w:rsid w:val="00963C62"/>
    <w:rsid w:val="00964B73"/>
    <w:rsid w:val="0096623A"/>
    <w:rsid w:val="00967F8C"/>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45D65"/>
    <w:rsid w:val="00A5027D"/>
    <w:rsid w:val="00A53FEA"/>
    <w:rsid w:val="00A63606"/>
    <w:rsid w:val="00A66546"/>
    <w:rsid w:val="00A66C8A"/>
    <w:rsid w:val="00A72F7E"/>
    <w:rsid w:val="00A82687"/>
    <w:rsid w:val="00A92C34"/>
    <w:rsid w:val="00A932D7"/>
    <w:rsid w:val="00AB0BF9"/>
    <w:rsid w:val="00AB2506"/>
    <w:rsid w:val="00AB4593"/>
    <w:rsid w:val="00AC0335"/>
    <w:rsid w:val="00AC2737"/>
    <w:rsid w:val="00AD187B"/>
    <w:rsid w:val="00AD1E55"/>
    <w:rsid w:val="00AF658D"/>
    <w:rsid w:val="00B05107"/>
    <w:rsid w:val="00B05627"/>
    <w:rsid w:val="00B07F43"/>
    <w:rsid w:val="00B148FC"/>
    <w:rsid w:val="00B15C12"/>
    <w:rsid w:val="00B24C0B"/>
    <w:rsid w:val="00B27FD9"/>
    <w:rsid w:val="00B42E19"/>
    <w:rsid w:val="00B4551F"/>
    <w:rsid w:val="00B65C14"/>
    <w:rsid w:val="00B70A67"/>
    <w:rsid w:val="00B71632"/>
    <w:rsid w:val="00B77EC8"/>
    <w:rsid w:val="00B81EB8"/>
    <w:rsid w:val="00B87CBD"/>
    <w:rsid w:val="00B87FE6"/>
    <w:rsid w:val="00B96BED"/>
    <w:rsid w:val="00BA53AA"/>
    <w:rsid w:val="00BB1CD3"/>
    <w:rsid w:val="00BB58EF"/>
    <w:rsid w:val="00BD0942"/>
    <w:rsid w:val="00BD2206"/>
    <w:rsid w:val="00BD26E3"/>
    <w:rsid w:val="00BD3D69"/>
    <w:rsid w:val="00BD7A64"/>
    <w:rsid w:val="00BF0852"/>
    <w:rsid w:val="00BF0FA5"/>
    <w:rsid w:val="00C017CB"/>
    <w:rsid w:val="00C02079"/>
    <w:rsid w:val="00C22646"/>
    <w:rsid w:val="00C3133B"/>
    <w:rsid w:val="00C53BA5"/>
    <w:rsid w:val="00C57BF1"/>
    <w:rsid w:val="00C63CD0"/>
    <w:rsid w:val="00C705EB"/>
    <w:rsid w:val="00C72348"/>
    <w:rsid w:val="00C7591A"/>
    <w:rsid w:val="00C83005"/>
    <w:rsid w:val="00C96172"/>
    <w:rsid w:val="00C9737F"/>
    <w:rsid w:val="00C97837"/>
    <w:rsid w:val="00CB1F7A"/>
    <w:rsid w:val="00CB5F23"/>
    <w:rsid w:val="00CC72D7"/>
    <w:rsid w:val="00CD4C3D"/>
    <w:rsid w:val="00CE6FAD"/>
    <w:rsid w:val="00CF3DB3"/>
    <w:rsid w:val="00CF60B7"/>
    <w:rsid w:val="00D05950"/>
    <w:rsid w:val="00D12BC7"/>
    <w:rsid w:val="00D13826"/>
    <w:rsid w:val="00D31E52"/>
    <w:rsid w:val="00D50ECC"/>
    <w:rsid w:val="00D52BD6"/>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83676-ADD6-47E4-AB93-55E4BB70E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1942</TotalTime>
  <Pages>5</Pages>
  <Words>1234</Words>
  <Characters>7034</Characters>
  <Application>Microsoft Office Word</Application>
  <DocSecurity>0</DocSecurity>
  <Lines>58</Lines>
  <Paragraphs>16</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8252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8</cp:revision>
  <cp:lastPrinted>2026-09-17T17:34:00Z</cp:lastPrinted>
  <dcterms:created xsi:type="dcterms:W3CDTF">2026-09-15T19:40:00Z</dcterms:created>
  <dcterms:modified xsi:type="dcterms:W3CDTF">2026-09-21T14:29:00Z</dcterms:modified>
</cp:coreProperties>
</file>