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8CAEED5" w14:textId="77777777" w:rsidR="00BC0F2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C391920" w14:textId="77777777" w:rsidR="00BC0F26" w:rsidRDefault="00BC0F26" w:rsidP="00161A6D">
      <w:pPr>
        <w:pStyle w:val="a0"/>
        <w:bidi/>
        <w:spacing w:line="216" w:lineRule="auto"/>
        <w:rPr>
          <w:rFonts w:ascii="mylotus" w:hAnsi="mylotus" w:hint="cs"/>
          <w:sz w:val="34"/>
          <w:szCs w:val="34"/>
          <w:rtl/>
          <w:lang w:bidi="ar-IQ"/>
        </w:rPr>
      </w:pPr>
    </w:p>
    <w:p w14:paraId="72921E8D" w14:textId="77777777" w:rsidR="00161A6D" w:rsidRPr="006704C0" w:rsidRDefault="00161A6D" w:rsidP="00161A6D">
      <w:pPr>
        <w:pStyle w:val="a0"/>
        <w:bidi/>
        <w:spacing w:line="216" w:lineRule="auto"/>
        <w:rPr>
          <w:rFonts w:ascii="mylotus" w:hAnsi="mylotus"/>
          <w:b/>
          <w:bCs/>
          <w:sz w:val="34"/>
          <w:szCs w:val="34"/>
          <w:rtl/>
        </w:rPr>
      </w:pPr>
      <w:r w:rsidRPr="006704C0">
        <w:rPr>
          <w:rFonts w:ascii="Times New Roman" w:hAnsi="Times New Roman" w:cs="Times New Roman"/>
          <w:b/>
          <w:bCs/>
          <w:sz w:val="34"/>
          <w:szCs w:val="34"/>
        </w:rPr>
        <w:t>•</w:t>
      </w:r>
      <w:r w:rsidRPr="006704C0">
        <w:rPr>
          <w:rFonts w:ascii="mylotus" w:hAnsi="mylotus"/>
          <w:b/>
          <w:bCs/>
          <w:sz w:val="34"/>
          <w:szCs w:val="34"/>
        </w:rPr>
        <w:tab/>
      </w:r>
      <w:r w:rsidRPr="006704C0">
        <w:rPr>
          <w:rFonts w:ascii="mylotus" w:hAnsi="mylotus"/>
          <w:b/>
          <w:bCs/>
          <w:sz w:val="34"/>
          <w:szCs w:val="34"/>
          <w:rtl/>
        </w:rPr>
        <w:t>بحثُ اجتماع الأمر والنهي</w:t>
      </w:r>
      <w:r w:rsidRPr="006704C0">
        <w:rPr>
          <w:rFonts w:ascii="mylotus" w:hAnsi="mylotus"/>
          <w:b/>
          <w:bCs/>
          <w:sz w:val="34"/>
          <w:szCs w:val="34"/>
        </w:rPr>
        <w:t>.</w:t>
      </w:r>
    </w:p>
    <w:p w14:paraId="6AAAF60A" w14:textId="7326F90E"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وهو من أهم البحوث الأصولية وأمتنها: وقد افتتح المحقّق الآخوند (قدس سره) المبحث بقوله: (هل يجوز اجتماع الأمر والنهي في واحد ذي وجهين أم لا</w:t>
      </w:r>
      <w:r>
        <w:rPr>
          <w:rFonts w:ascii="mylotus" w:hAnsi="mylotus" w:hint="cs"/>
          <w:sz w:val="34"/>
          <w:szCs w:val="34"/>
          <w:rtl/>
        </w:rPr>
        <w:t>)؟</w:t>
      </w:r>
    </w:p>
    <w:p w14:paraId="3BADD059"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مثلاً: الطواف في الساتر المغصوب واحد ذو وجهين، فهو من وجه طواف مأمور به، ومن وجه غصب لكونه تصرفاً في الساتر دون إذن مالكه، فهل يجوز اجتماع الأمر والنهي في هذا الطواف ذي الوجهين أم لا؟</w:t>
      </w:r>
      <w:r w:rsidRPr="00161A6D">
        <w:rPr>
          <w:rFonts w:ascii="mylotus" w:hAnsi="mylotus"/>
          <w:sz w:val="34"/>
          <w:szCs w:val="34"/>
        </w:rPr>
        <w:t xml:space="preserve"> </w:t>
      </w:r>
    </w:p>
    <w:p w14:paraId="161EC3B2" w14:textId="39DA7CA7" w:rsidR="00161A6D" w:rsidRPr="00161A6D" w:rsidRDefault="00161A6D" w:rsidP="006704C0">
      <w:pPr>
        <w:pStyle w:val="a0"/>
        <w:bidi/>
        <w:spacing w:line="216" w:lineRule="auto"/>
        <w:rPr>
          <w:rFonts w:ascii="mylotus" w:hAnsi="mylotus"/>
          <w:sz w:val="34"/>
          <w:szCs w:val="34"/>
          <w:rtl/>
        </w:rPr>
      </w:pPr>
      <w:r w:rsidRPr="00161A6D">
        <w:rPr>
          <w:rFonts w:ascii="mylotus" w:hAnsi="mylotus"/>
          <w:sz w:val="34"/>
          <w:szCs w:val="34"/>
          <w:rtl/>
        </w:rPr>
        <w:t>وهذا ما يظهر من عبارة صاحب الكفاية (قدس سره)، إلّا أنّ المحقّق النائيني (قدس سره) أفاد بأنّ محط البحث في: (أنّ الأمر والنهي المتعلقين بشيئين متحدين خارجاً وجوداً وإيجاداً، هل يسري أحدهما لمتعلّق الآخر أو لا؟</w:t>
      </w:r>
      <w:r w:rsidR="006704C0">
        <w:rPr>
          <w:rFonts w:ascii="mylotus" w:hAnsi="mylotus" w:hint="cs"/>
          <w:sz w:val="34"/>
          <w:szCs w:val="34"/>
          <w:rtl/>
        </w:rPr>
        <w:t>)</w:t>
      </w:r>
    </w:p>
    <w:p w14:paraId="35464394"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مثلاً: لو صلى المكلف في الدار المغصوبة، فإنّ الأمر بالصلاة والنهي عن الغصب تعلّقا بشيئين: صلاة وغصب، وهما قد اتحدا في الخارج وجوداً وإيجاداً، أي: أنّ المكلف أوجد هذين العملين بإعمال قدرة واحدة، فحينئذٍ هل يسري أحدهما -وهو النهي- لمصداق متعلّق الآخر -أي: مصداق متعلّق الأمر-؟</w:t>
      </w:r>
    </w:p>
    <w:p w14:paraId="639B5C48" w14:textId="42B72319" w:rsidR="00161A6D" w:rsidRPr="00161A6D" w:rsidRDefault="00161A6D" w:rsidP="00161A6D">
      <w:pPr>
        <w:pStyle w:val="a0"/>
        <w:bidi/>
        <w:spacing w:line="216" w:lineRule="auto"/>
        <w:rPr>
          <w:rFonts w:ascii="mylotus" w:hAnsi="mylotus"/>
          <w:b/>
          <w:bCs/>
          <w:sz w:val="34"/>
          <w:szCs w:val="34"/>
          <w:rtl/>
        </w:rPr>
      </w:pPr>
      <w:r w:rsidRPr="00161A6D">
        <w:rPr>
          <w:rFonts w:ascii="mylotus" w:hAnsi="mylotus"/>
          <w:sz w:val="34"/>
          <w:szCs w:val="34"/>
          <w:rtl/>
        </w:rPr>
        <w:t xml:space="preserve">وظاهرُ العبارة: أنّ البحث بنظر المحقّق النائيني (قدس سره) في صغرى السراية وعدمها لا كبرى الجواز وعدمه، ثمّ أعقب ذلك بالتعليق على عنوان البحث بقوله: </w:t>
      </w:r>
      <w:r w:rsidRPr="00161A6D">
        <w:rPr>
          <w:rFonts w:ascii="mylotus" w:hAnsi="mylotus"/>
          <w:b/>
          <w:bCs/>
          <w:sz w:val="34"/>
          <w:szCs w:val="34"/>
          <w:rtl/>
        </w:rPr>
        <w:t>(يوهم أنّ القائل بالجواز لا يعترف بتضاد الحكمين، فلذا يقول بجواز اجتماعهما مع أنّ الأمر ل</w:t>
      </w:r>
      <w:r w:rsidRPr="00161A6D">
        <w:rPr>
          <w:rFonts w:ascii="mylotus" w:hAnsi="mylotus"/>
          <w:b/>
          <w:bCs/>
          <w:sz w:val="34"/>
          <w:szCs w:val="34"/>
          <w:rtl/>
        </w:rPr>
        <w:t>يس كذلك، بل هو يدعي عدم لزوم ال</w:t>
      </w:r>
      <w:r w:rsidRPr="00161A6D">
        <w:rPr>
          <w:rFonts w:ascii="mylotus" w:hAnsi="mylotus" w:hint="cs"/>
          <w:b/>
          <w:bCs/>
          <w:sz w:val="34"/>
          <w:szCs w:val="34"/>
          <w:rtl/>
        </w:rPr>
        <w:t>ا</w:t>
      </w:r>
      <w:r w:rsidRPr="00161A6D">
        <w:rPr>
          <w:rFonts w:ascii="mylotus" w:hAnsi="mylotus"/>
          <w:b/>
          <w:bCs/>
          <w:sz w:val="34"/>
          <w:szCs w:val="34"/>
          <w:rtl/>
        </w:rPr>
        <w:t>جتماع مع اتحاد المتعلقين خارجاً، لا أنّه يدعي جوازه بعد تسليمه الاجتماع؛ إذ استحالة الاجتماع بعد وضوح التضاد بين الحكمين مما لا تكاد تخفى</w:t>
      </w:r>
      <w:r w:rsidRPr="00161A6D">
        <w:rPr>
          <w:rFonts w:ascii="mylotus" w:hAnsi="mylotus" w:hint="cs"/>
          <w:b/>
          <w:bCs/>
          <w:sz w:val="34"/>
          <w:szCs w:val="34"/>
          <w:rtl/>
        </w:rPr>
        <w:t>)</w:t>
      </w:r>
      <w:r>
        <w:rPr>
          <w:rFonts w:ascii="mylotus" w:hAnsi="mylotus" w:hint="cs"/>
          <w:b/>
          <w:bCs/>
          <w:sz w:val="34"/>
          <w:szCs w:val="34"/>
          <w:rtl/>
        </w:rPr>
        <w:t xml:space="preserve"> اه</w:t>
      </w:r>
      <w:r w:rsidRPr="00161A6D">
        <w:rPr>
          <w:rFonts w:ascii="mylotus" w:hAnsi="mylotus" w:hint="cs"/>
          <w:b/>
          <w:bCs/>
          <w:sz w:val="34"/>
          <w:szCs w:val="34"/>
          <w:rtl/>
        </w:rPr>
        <w:t>.</w:t>
      </w:r>
    </w:p>
    <w:p w14:paraId="5A3015FD" w14:textId="77777777" w:rsidR="00161A6D" w:rsidRPr="00161A6D" w:rsidRDefault="00161A6D" w:rsidP="00161A6D">
      <w:pPr>
        <w:pStyle w:val="a0"/>
        <w:bidi/>
        <w:spacing w:line="216" w:lineRule="auto"/>
        <w:rPr>
          <w:rFonts w:ascii="mylotus" w:hAnsi="mylotus"/>
          <w:b/>
          <w:bCs/>
          <w:sz w:val="34"/>
          <w:szCs w:val="34"/>
          <w:rtl/>
        </w:rPr>
      </w:pPr>
      <w:r w:rsidRPr="00161A6D">
        <w:rPr>
          <w:rFonts w:ascii="mylotus" w:hAnsi="mylotus"/>
          <w:b/>
          <w:bCs/>
          <w:sz w:val="34"/>
          <w:szCs w:val="34"/>
          <w:rtl/>
        </w:rPr>
        <w:t>والعبارةُ المذكورة متضمنة لدعويين</w:t>
      </w:r>
      <w:r w:rsidRPr="00161A6D">
        <w:rPr>
          <w:rFonts w:ascii="mylotus" w:hAnsi="mylotus"/>
          <w:b/>
          <w:bCs/>
          <w:sz w:val="34"/>
          <w:szCs w:val="34"/>
        </w:rPr>
        <w:t>:</w:t>
      </w:r>
    </w:p>
    <w:p w14:paraId="01C870F7"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b/>
          <w:bCs/>
          <w:sz w:val="34"/>
          <w:szCs w:val="34"/>
          <w:rtl/>
        </w:rPr>
        <w:t>الدعوى الأُولى:</w:t>
      </w:r>
      <w:r w:rsidRPr="00161A6D">
        <w:rPr>
          <w:rFonts w:ascii="mylotus" w:hAnsi="mylotus"/>
          <w:sz w:val="34"/>
          <w:szCs w:val="34"/>
          <w:rtl/>
        </w:rPr>
        <w:t xml:space="preserve"> أنّ عنوان البحث في كلمات الأصوليين ومنهم صاحب الكفاية (قدس سره) توهم أنّ القائل بالجواز لا يعترف بالتضاد</w:t>
      </w:r>
      <w:r w:rsidRPr="00161A6D">
        <w:rPr>
          <w:rFonts w:ascii="mylotus" w:hAnsi="mylotus"/>
          <w:sz w:val="34"/>
          <w:szCs w:val="34"/>
        </w:rPr>
        <w:t>.</w:t>
      </w:r>
    </w:p>
    <w:p w14:paraId="01A27659"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b/>
          <w:bCs/>
          <w:sz w:val="34"/>
          <w:szCs w:val="34"/>
          <w:rtl/>
        </w:rPr>
        <w:lastRenderedPageBreak/>
        <w:t>الدعوى الثانية:</w:t>
      </w:r>
      <w:r w:rsidRPr="00161A6D">
        <w:rPr>
          <w:rFonts w:ascii="mylotus" w:hAnsi="mylotus"/>
          <w:sz w:val="34"/>
          <w:szCs w:val="34"/>
          <w:rtl/>
        </w:rPr>
        <w:t xml:space="preserve"> أنّ من يدعي الجواز إنّما يدعيه لأنّه لا يرى تحقّق الاجتماع مع اتحاد المتعلقين خارجاً</w:t>
      </w:r>
      <w:r w:rsidRPr="00161A6D">
        <w:rPr>
          <w:rFonts w:ascii="mylotus" w:hAnsi="mylotus"/>
          <w:sz w:val="34"/>
          <w:szCs w:val="34"/>
        </w:rPr>
        <w:t>.</w:t>
      </w:r>
    </w:p>
    <w:p w14:paraId="50A2D3CE"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 xml:space="preserve">وظاهرُ الدعوى الثانية: أنّ النزاع بحسب نظر النائيني (قدس سره) بين القائلين بالجواز والقائلين بالامتناع نزاع </w:t>
      </w:r>
      <w:proofErr w:type="spellStart"/>
      <w:r w:rsidRPr="00161A6D">
        <w:rPr>
          <w:rFonts w:ascii="mylotus" w:hAnsi="mylotus"/>
          <w:sz w:val="34"/>
          <w:szCs w:val="34"/>
          <w:rtl/>
        </w:rPr>
        <w:t>صغروي</w:t>
      </w:r>
      <w:proofErr w:type="spellEnd"/>
      <w:r w:rsidRPr="00161A6D">
        <w:rPr>
          <w:rFonts w:ascii="mylotus" w:hAnsi="mylotus"/>
          <w:sz w:val="34"/>
          <w:szCs w:val="34"/>
          <w:rtl/>
        </w:rPr>
        <w:t>، فمن يقول بالجواز لا يسلم صغرى الاجتماع، لا أنّه يرى تحقّق الاجتماع ومع ذلك يقول بالجواز</w:t>
      </w:r>
      <w:r w:rsidRPr="00161A6D">
        <w:rPr>
          <w:rFonts w:ascii="mylotus" w:hAnsi="mylotus"/>
          <w:sz w:val="34"/>
          <w:szCs w:val="34"/>
        </w:rPr>
        <w:t>.</w:t>
      </w:r>
    </w:p>
    <w:p w14:paraId="11A45B67"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والسر في ذلك: أنّه لا خلاف في الكبرى، وهي عدم جواز اجتماع الأمر والنهي في مورد يكون مصداقاً لاجتماع الضدين</w:t>
      </w:r>
      <w:r w:rsidRPr="00161A6D">
        <w:rPr>
          <w:rFonts w:ascii="mylotus" w:hAnsi="mylotus"/>
          <w:sz w:val="34"/>
          <w:szCs w:val="34"/>
        </w:rPr>
        <w:t>.</w:t>
      </w:r>
    </w:p>
    <w:p w14:paraId="69532F6B" w14:textId="06CA5745" w:rsidR="00161A6D" w:rsidRPr="00161A6D" w:rsidRDefault="00161A6D" w:rsidP="00161A6D">
      <w:pPr>
        <w:pStyle w:val="a0"/>
        <w:bidi/>
        <w:spacing w:line="216" w:lineRule="auto"/>
        <w:rPr>
          <w:rFonts w:ascii="mylotus" w:hAnsi="mylotus"/>
          <w:b/>
          <w:bCs/>
          <w:sz w:val="34"/>
          <w:szCs w:val="34"/>
          <w:rtl/>
        </w:rPr>
      </w:pPr>
      <w:r w:rsidRPr="00161A6D">
        <w:rPr>
          <w:rFonts w:ascii="mylotus" w:hAnsi="mylotus"/>
          <w:b/>
          <w:bCs/>
          <w:sz w:val="34"/>
          <w:szCs w:val="34"/>
          <w:rtl/>
        </w:rPr>
        <w:t>ولبيان مطلب المحقق النائيني (قدس سره) من الدعوى الثانية نستعرض ما</w:t>
      </w:r>
      <w:r w:rsidRPr="00161A6D">
        <w:rPr>
          <w:rFonts w:ascii="mylotus" w:hAnsi="mylotus" w:hint="cs"/>
          <w:b/>
          <w:bCs/>
          <w:sz w:val="34"/>
          <w:szCs w:val="34"/>
          <w:rtl/>
        </w:rPr>
        <w:t xml:space="preserve"> </w:t>
      </w:r>
      <w:r w:rsidRPr="00161A6D">
        <w:rPr>
          <w:rFonts w:ascii="mylotus" w:hAnsi="mylotus"/>
          <w:b/>
          <w:bCs/>
          <w:sz w:val="34"/>
          <w:szCs w:val="34"/>
          <w:rtl/>
        </w:rPr>
        <w:t>ورد في كلماته [كما في أجود التقريرات، ط1، ج1، ص331.] من عبائر ثلاث</w:t>
      </w:r>
      <w:r w:rsidRPr="00161A6D">
        <w:rPr>
          <w:rFonts w:ascii="mylotus" w:hAnsi="mylotus"/>
          <w:b/>
          <w:bCs/>
          <w:sz w:val="34"/>
          <w:szCs w:val="34"/>
        </w:rPr>
        <w:t>:</w:t>
      </w:r>
    </w:p>
    <w:p w14:paraId="374F1422" w14:textId="7BB71274" w:rsidR="00161A6D" w:rsidRPr="00161A6D" w:rsidRDefault="00161A6D" w:rsidP="00161A6D">
      <w:pPr>
        <w:pStyle w:val="a0"/>
        <w:bidi/>
        <w:spacing w:line="216" w:lineRule="auto"/>
        <w:rPr>
          <w:rFonts w:ascii="mylotus" w:hAnsi="mylotus"/>
          <w:sz w:val="34"/>
          <w:szCs w:val="34"/>
          <w:rtl/>
        </w:rPr>
      </w:pPr>
      <w:r w:rsidRPr="00161A6D">
        <w:rPr>
          <w:rFonts w:ascii="mylotus" w:hAnsi="mylotus"/>
          <w:b/>
          <w:bCs/>
          <w:sz w:val="34"/>
          <w:szCs w:val="34"/>
          <w:rtl/>
        </w:rPr>
        <w:t>العبارةُ الأولى:</w:t>
      </w:r>
      <w:r w:rsidRPr="00161A6D">
        <w:rPr>
          <w:rFonts w:ascii="mylotus" w:hAnsi="mylotus"/>
          <w:sz w:val="34"/>
          <w:szCs w:val="34"/>
          <w:rtl/>
        </w:rPr>
        <w:t xml:space="preserve"> [التقريرات الأصولية، ج4، ص21] إذا تعلق الأمر والنهي بعنوانين، كتعلّق الأمر بالصلاة وتعلق النهي بالغصب، وتصادق العنوانان خارجاً على مجمع واحد بالنظر العرفي، كالصلاة في الدار المغصوبة، فهل أنّ تعدد العنوان كاف في رفع غائلة اجتماع الحكمين المتضادين -لكون تعدد العنوان مساوقا لتعدد المعنون خارجاً- أم لا؟ إذ لا إشكال أنّ المعنون واحد بالنظر العرفي، أي: أنّ الصلاة في الدار المغصوبة واحد بالنظر العرفي، لكن هل هو واحد حقيقة ووجوداً بالنظر العقلي فيسري النهي لمصداق متعلّق الأمر أم هو متعدد فلا يسري النهي لمصداق متعلّق الأمر ويجوز الاجتماع</w:t>
      </w:r>
      <w:r w:rsidRPr="00161A6D">
        <w:rPr>
          <w:rFonts w:ascii="mylotus" w:hAnsi="mylotus"/>
          <w:sz w:val="34"/>
          <w:szCs w:val="34"/>
        </w:rPr>
        <w:t>.</w:t>
      </w:r>
    </w:p>
    <w:p w14:paraId="6FC42448" w14:textId="4F6CA98B" w:rsidR="00161A6D" w:rsidRPr="00161A6D" w:rsidRDefault="00161A6D" w:rsidP="00161A6D">
      <w:pPr>
        <w:pStyle w:val="a0"/>
        <w:bidi/>
        <w:spacing w:line="216" w:lineRule="auto"/>
        <w:rPr>
          <w:rFonts w:ascii="mylotus" w:hAnsi="mylotus"/>
          <w:sz w:val="34"/>
          <w:szCs w:val="34"/>
          <w:rtl/>
        </w:rPr>
      </w:pPr>
      <w:r w:rsidRPr="00161A6D">
        <w:rPr>
          <w:rFonts w:ascii="mylotus" w:hAnsi="mylotus"/>
          <w:b/>
          <w:bCs/>
          <w:sz w:val="34"/>
          <w:szCs w:val="34"/>
          <w:rtl/>
        </w:rPr>
        <w:t>العبارةُ الثانية:</w:t>
      </w:r>
      <w:r w:rsidRPr="00161A6D">
        <w:rPr>
          <w:rFonts w:ascii="mylotus" w:hAnsi="mylotus"/>
          <w:sz w:val="34"/>
          <w:szCs w:val="34"/>
          <w:rtl/>
        </w:rPr>
        <w:t xml:space="preserve"> [التقريرات الأصولية، ج 4، ص 33] إذا تعلق الأمر بطبيعة والنهي بطبيعة، كما إذا تعلّق الأمر بالوضوء وتعلّق النهي بالغصب، واتفق أنْ تحققت الطبيعتان بوجودٍ واحد، وهو الوضوء بالماء المغصوب، فهل التركيب انضمامي أم اتحادي؟ إذ لا شك أنّ هنا وجوداً تركيبياً وهو الوضوء بالماء المغصوب، لكن هل التركيب بين هاتين الطبيعتين -الوضوء والغصب- تركيب انضمامي؟ بمعنى: أنّهما وجودان لمقولتين، لكن أوجدا بإعمال قدرة واحدة، أم أنّهما وجود واحد حقيقة؟ وإنْ صدق عليه عنوانان: وضوء وغصب، وهذا معناه أنّ التركيب تركيب اتحادي</w:t>
      </w:r>
      <w:r w:rsidRPr="00161A6D">
        <w:rPr>
          <w:rFonts w:ascii="mylotus" w:hAnsi="mylotus"/>
          <w:sz w:val="34"/>
          <w:szCs w:val="34"/>
        </w:rPr>
        <w:t>.</w:t>
      </w:r>
    </w:p>
    <w:p w14:paraId="52B0C661"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 xml:space="preserve">فبناءً على التركيب </w:t>
      </w:r>
      <w:proofErr w:type="spellStart"/>
      <w:r w:rsidRPr="00161A6D">
        <w:rPr>
          <w:rFonts w:ascii="mylotus" w:hAnsi="mylotus"/>
          <w:sz w:val="34"/>
          <w:szCs w:val="34"/>
          <w:rtl/>
        </w:rPr>
        <w:t>الانضمامي</w:t>
      </w:r>
      <w:proofErr w:type="spellEnd"/>
      <w:r w:rsidRPr="00161A6D">
        <w:rPr>
          <w:rFonts w:ascii="mylotus" w:hAnsi="mylotus"/>
          <w:sz w:val="34"/>
          <w:szCs w:val="34"/>
          <w:rtl/>
        </w:rPr>
        <w:t xml:space="preserve"> يجوز الاجتماع، وبناء على التركيب الاتحادي يمتنع الاجتماع</w:t>
      </w:r>
      <w:r w:rsidRPr="00161A6D">
        <w:rPr>
          <w:rFonts w:ascii="mylotus" w:hAnsi="mylotus"/>
          <w:sz w:val="34"/>
          <w:szCs w:val="34"/>
        </w:rPr>
        <w:t>.</w:t>
      </w:r>
    </w:p>
    <w:p w14:paraId="62B76A8D" w14:textId="16B11F67" w:rsidR="00161A6D" w:rsidRPr="00161A6D" w:rsidRDefault="00161A6D" w:rsidP="00161A6D">
      <w:pPr>
        <w:pStyle w:val="a0"/>
        <w:bidi/>
        <w:spacing w:line="216" w:lineRule="auto"/>
        <w:rPr>
          <w:rFonts w:ascii="mylotus" w:hAnsi="mylotus"/>
          <w:sz w:val="34"/>
          <w:szCs w:val="34"/>
          <w:rtl/>
        </w:rPr>
      </w:pPr>
      <w:r w:rsidRPr="00161A6D">
        <w:rPr>
          <w:rFonts w:ascii="mylotus" w:hAnsi="mylotus"/>
          <w:b/>
          <w:bCs/>
          <w:sz w:val="34"/>
          <w:szCs w:val="34"/>
          <w:rtl/>
        </w:rPr>
        <w:t>العبارةُ الثالثة:</w:t>
      </w:r>
      <w:r w:rsidRPr="00161A6D">
        <w:rPr>
          <w:rFonts w:ascii="mylotus" w:hAnsi="mylotus"/>
          <w:sz w:val="34"/>
          <w:szCs w:val="34"/>
          <w:rtl/>
        </w:rPr>
        <w:t xml:space="preserve"> [أجود التقريرات، ج1، ص 332] أنّ منشأ النزاع في سراية كلّ من الأمر والنهي لمتعلّق الآخر هو النزاع في أنّ الجهتين المتحققتين في المجمع تعليليتان أو تقييديتان، فإنْ كانتا تعليليتين </w:t>
      </w:r>
      <w:r w:rsidRPr="00161A6D">
        <w:rPr>
          <w:rFonts w:ascii="mylotus" w:hAnsi="mylotus"/>
          <w:sz w:val="34"/>
          <w:szCs w:val="34"/>
          <w:rtl/>
        </w:rPr>
        <w:lastRenderedPageBreak/>
        <w:t>تعلّق الأمر بما تعلّق به النهي بعينه، فيمتنع الاجتماع ويقع التعارض بين الدليلين لا محالة، وإنْ كانتا تقييديتين لم تتحقق السراية</w:t>
      </w:r>
      <w:r w:rsidRPr="00161A6D">
        <w:rPr>
          <w:rFonts w:ascii="mylotus" w:hAnsi="mylotus"/>
          <w:sz w:val="34"/>
          <w:szCs w:val="34"/>
        </w:rPr>
        <w:t>.</w:t>
      </w:r>
    </w:p>
    <w:p w14:paraId="317F91F8" w14:textId="31D7361A" w:rsidR="00161A6D" w:rsidRPr="00161A6D" w:rsidRDefault="00161A6D" w:rsidP="006704C0">
      <w:pPr>
        <w:pStyle w:val="a0"/>
        <w:bidi/>
        <w:spacing w:line="216" w:lineRule="auto"/>
        <w:rPr>
          <w:rFonts w:ascii="mylotus" w:hAnsi="mylotus"/>
          <w:sz w:val="34"/>
          <w:szCs w:val="34"/>
          <w:rtl/>
        </w:rPr>
      </w:pPr>
      <w:r w:rsidRPr="00161A6D">
        <w:rPr>
          <w:rFonts w:ascii="mylotus" w:hAnsi="mylotus"/>
          <w:sz w:val="34"/>
          <w:szCs w:val="34"/>
          <w:rtl/>
        </w:rPr>
        <w:t xml:space="preserve">وأفاد في </w:t>
      </w:r>
      <w:r w:rsidR="006704C0">
        <w:rPr>
          <w:rFonts w:ascii="mylotus" w:hAnsi="mylotus" w:hint="cs"/>
          <w:sz w:val="34"/>
          <w:szCs w:val="34"/>
          <w:rtl/>
        </w:rPr>
        <w:t>-</w:t>
      </w:r>
      <w:r w:rsidRPr="00161A6D">
        <w:rPr>
          <w:rFonts w:ascii="mylotus" w:hAnsi="mylotus"/>
          <w:sz w:val="34"/>
          <w:szCs w:val="34"/>
          <w:rtl/>
        </w:rPr>
        <w:t>[التقريرات الأصولية، ج4، ص36] [أجود التقريرات، ج2، ص136</w:t>
      </w:r>
      <w:r w:rsidR="006704C0">
        <w:rPr>
          <w:rFonts w:ascii="mylotus" w:hAnsi="mylotus"/>
          <w:sz w:val="34"/>
          <w:szCs w:val="34"/>
          <w:rtl/>
        </w:rPr>
        <w:t>]</w:t>
      </w:r>
      <w:r w:rsidR="006704C0">
        <w:rPr>
          <w:rFonts w:ascii="mylotus" w:hAnsi="mylotus" w:hint="cs"/>
          <w:sz w:val="34"/>
          <w:szCs w:val="34"/>
          <w:rtl/>
        </w:rPr>
        <w:t>-</w:t>
      </w:r>
      <w:r w:rsidRPr="00161A6D">
        <w:rPr>
          <w:rFonts w:ascii="mylotus" w:hAnsi="mylotus"/>
          <w:sz w:val="34"/>
          <w:szCs w:val="34"/>
          <w:rtl/>
        </w:rPr>
        <w:t xml:space="preserve"> المقدمة الخامسة: أنّ مراده بالحيثية التقييدية والتعليلية هي حيثية صدق العنوان على المعنون</w:t>
      </w:r>
      <w:r w:rsidRPr="00161A6D">
        <w:rPr>
          <w:rFonts w:ascii="mylotus" w:hAnsi="mylotus"/>
          <w:sz w:val="34"/>
          <w:szCs w:val="34"/>
        </w:rPr>
        <w:t>.</w:t>
      </w:r>
    </w:p>
    <w:p w14:paraId="060F9C68" w14:textId="299E3CED"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مثلاً: إذا أ</w:t>
      </w:r>
      <w:r>
        <w:rPr>
          <w:rFonts w:ascii="mylotus" w:hAnsi="mylotus"/>
          <w:sz w:val="34"/>
          <w:szCs w:val="34"/>
          <w:rtl/>
        </w:rPr>
        <w:t>حرمت المر</w:t>
      </w:r>
      <w:r>
        <w:rPr>
          <w:rFonts w:ascii="mylotus" w:hAnsi="mylotus" w:hint="cs"/>
          <w:sz w:val="34"/>
          <w:szCs w:val="34"/>
          <w:rtl/>
        </w:rPr>
        <w:t>أ</w:t>
      </w:r>
      <w:r w:rsidRPr="00161A6D">
        <w:rPr>
          <w:rFonts w:ascii="mylotus" w:hAnsi="mylotus"/>
          <w:sz w:val="34"/>
          <w:szCs w:val="34"/>
          <w:rtl/>
        </w:rPr>
        <w:t>ة الحائض داخل مسجد الشجرة لحجٍ واجبٍ، فمكثها في المسجد محرم وإحرامها لازم، فعندما يجتمع الإحرام مع المكث في المسجد فهنا وجود واحد عرفاً، وهذا الوجود الواحد مجمع لحيثيتين: حيثية الكون في المسجد، وحيثية التلبية</w:t>
      </w:r>
      <w:r w:rsidRPr="00161A6D">
        <w:rPr>
          <w:rFonts w:ascii="mylotus" w:hAnsi="mylotus"/>
          <w:sz w:val="34"/>
          <w:szCs w:val="34"/>
        </w:rPr>
        <w:t>.</w:t>
      </w:r>
    </w:p>
    <w:p w14:paraId="1FEFF5EF" w14:textId="77777777"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 xml:space="preserve">فإن كانت الحيثيتان تقييديتين، من جهة صدق العنوان المتعلّق للأمر والعنوان المتعلّق للنهي على المعنون الخارجي كان مصب المحبوبية غير مصب </w:t>
      </w:r>
      <w:proofErr w:type="spellStart"/>
      <w:r w:rsidRPr="00161A6D">
        <w:rPr>
          <w:rFonts w:ascii="mylotus" w:hAnsi="mylotus"/>
          <w:sz w:val="34"/>
          <w:szCs w:val="34"/>
          <w:rtl/>
        </w:rPr>
        <w:t>المبغوضية</w:t>
      </w:r>
      <w:proofErr w:type="spellEnd"/>
      <w:r w:rsidRPr="00161A6D">
        <w:rPr>
          <w:rFonts w:ascii="mylotus" w:hAnsi="mylotus"/>
          <w:sz w:val="34"/>
          <w:szCs w:val="34"/>
          <w:rtl/>
        </w:rPr>
        <w:t xml:space="preserve">، فإنّ مصب المحبوبية عنوان الإحرام ومصب </w:t>
      </w:r>
      <w:proofErr w:type="spellStart"/>
      <w:r w:rsidRPr="00161A6D">
        <w:rPr>
          <w:rFonts w:ascii="mylotus" w:hAnsi="mylotus"/>
          <w:sz w:val="34"/>
          <w:szCs w:val="34"/>
          <w:rtl/>
        </w:rPr>
        <w:t>المبغوضية</w:t>
      </w:r>
      <w:proofErr w:type="spellEnd"/>
      <w:r w:rsidRPr="00161A6D">
        <w:rPr>
          <w:rFonts w:ascii="mylotus" w:hAnsi="mylotus"/>
          <w:sz w:val="34"/>
          <w:szCs w:val="34"/>
          <w:rtl/>
        </w:rPr>
        <w:t xml:space="preserve"> عنوان مكث الحائض في المسجد فلم يجتمعا فلا سراية لأحدهما لمتعلّق الآخر، فيجوز الاجتماع</w:t>
      </w:r>
      <w:r w:rsidRPr="00161A6D">
        <w:rPr>
          <w:rFonts w:ascii="mylotus" w:hAnsi="mylotus"/>
          <w:sz w:val="34"/>
          <w:szCs w:val="34"/>
        </w:rPr>
        <w:t>.</w:t>
      </w:r>
    </w:p>
    <w:p w14:paraId="53BA957C" w14:textId="0038340C" w:rsidR="00161A6D" w:rsidRPr="00161A6D" w:rsidRDefault="00161A6D" w:rsidP="00161A6D">
      <w:pPr>
        <w:pStyle w:val="a0"/>
        <w:bidi/>
        <w:spacing w:line="216" w:lineRule="auto"/>
        <w:rPr>
          <w:rFonts w:ascii="mylotus" w:hAnsi="mylotus"/>
          <w:sz w:val="34"/>
          <w:szCs w:val="34"/>
          <w:rtl/>
        </w:rPr>
      </w:pPr>
      <w:r w:rsidRPr="00161A6D">
        <w:rPr>
          <w:rFonts w:ascii="mylotus" w:hAnsi="mylotus"/>
          <w:sz w:val="34"/>
          <w:szCs w:val="34"/>
          <w:rtl/>
        </w:rPr>
        <w:t>وإنْ كانت الحيثيتان تعليليتين، من حيث صدق العنوان على المعنون، أي: أنّهما واسطتان في عروض العنوانين العنوان الواجب -الإحرام- والعنوان المحرم -مكث الحائض في المسجد- على المعنون الواحد، فذلك الوجود مأمور به ومنهي عنه، فحينئذٍ</w:t>
      </w:r>
      <w:r w:rsidR="001D23EB">
        <w:rPr>
          <w:rFonts w:ascii="mylotus" w:hAnsi="mylotus"/>
          <w:sz w:val="34"/>
          <w:szCs w:val="34"/>
          <w:rtl/>
        </w:rPr>
        <w:t xml:space="preserve"> </w:t>
      </w:r>
      <w:r w:rsidRPr="00161A6D">
        <w:rPr>
          <w:rFonts w:ascii="mylotus" w:hAnsi="mylotus"/>
          <w:sz w:val="34"/>
          <w:szCs w:val="34"/>
          <w:rtl/>
        </w:rPr>
        <w:t>تتحقق السراية ويمتنع الاجتماع</w:t>
      </w:r>
      <w:r w:rsidRPr="00161A6D">
        <w:rPr>
          <w:rFonts w:ascii="mylotus" w:hAnsi="mylotus"/>
          <w:sz w:val="34"/>
          <w:szCs w:val="34"/>
        </w:rPr>
        <w:t>.</w:t>
      </w:r>
    </w:p>
    <w:p w14:paraId="380590B6" w14:textId="77777777" w:rsidR="00161A6D" w:rsidRPr="00161A6D" w:rsidRDefault="00161A6D" w:rsidP="0068262E">
      <w:pPr>
        <w:pStyle w:val="a0"/>
        <w:widowControl w:val="0"/>
        <w:bidi/>
        <w:spacing w:line="216" w:lineRule="auto"/>
        <w:rPr>
          <w:rFonts w:ascii="mylotus" w:hAnsi="mylotus"/>
          <w:sz w:val="34"/>
          <w:szCs w:val="34"/>
          <w:rtl/>
        </w:rPr>
      </w:pPr>
      <w:r w:rsidRPr="00161A6D">
        <w:rPr>
          <w:rFonts w:ascii="mylotus" w:hAnsi="mylotus"/>
          <w:sz w:val="34"/>
          <w:szCs w:val="34"/>
          <w:rtl/>
        </w:rPr>
        <w:t xml:space="preserve">وهذا البحث كما ترى كثير الدوران في الفقه: كالطواف في الساتر </w:t>
      </w:r>
      <w:proofErr w:type="spellStart"/>
      <w:r w:rsidRPr="00161A6D">
        <w:rPr>
          <w:rFonts w:ascii="mylotus" w:hAnsi="mylotus"/>
          <w:sz w:val="34"/>
          <w:szCs w:val="34"/>
          <w:rtl/>
        </w:rPr>
        <w:t>الغصبي</w:t>
      </w:r>
      <w:proofErr w:type="spellEnd"/>
      <w:r w:rsidRPr="00161A6D">
        <w:rPr>
          <w:rFonts w:ascii="mylotus" w:hAnsi="mylotus"/>
          <w:sz w:val="34"/>
          <w:szCs w:val="34"/>
          <w:rtl/>
        </w:rPr>
        <w:t>، أو حلق المحرم شعره بآلة مغصوبة من أجل التحلل من الإحرام، والوضوء بالماء المغصوب، والصلاة في لباس الشهرة، والصلاة على خلاف التقية، وطواف المحرم في الساتر المخيط، وصلاة الزوجة خارج البيت دون إذن زوجها، وكلها مما يستفاد حكمها من بحث اجتماع الأمر والنهي</w:t>
      </w:r>
      <w:r w:rsidRPr="00161A6D">
        <w:rPr>
          <w:rFonts w:ascii="mylotus" w:hAnsi="mylotus"/>
          <w:sz w:val="34"/>
          <w:szCs w:val="34"/>
        </w:rPr>
        <w:t>.</w:t>
      </w:r>
    </w:p>
    <w:p w14:paraId="488D67B7" w14:textId="77777777" w:rsidR="00161A6D" w:rsidRPr="00161A6D" w:rsidRDefault="00161A6D" w:rsidP="0068262E">
      <w:pPr>
        <w:pStyle w:val="a0"/>
        <w:widowControl w:val="0"/>
        <w:bidi/>
        <w:spacing w:line="216" w:lineRule="auto"/>
        <w:rPr>
          <w:rFonts w:ascii="mylotus" w:hAnsi="mylotus"/>
          <w:sz w:val="34"/>
          <w:szCs w:val="34"/>
          <w:rtl/>
        </w:rPr>
      </w:pPr>
      <w:r w:rsidRPr="00161A6D">
        <w:rPr>
          <w:rFonts w:ascii="mylotus" w:hAnsi="mylotus"/>
          <w:sz w:val="34"/>
          <w:szCs w:val="34"/>
          <w:rtl/>
        </w:rPr>
        <w:t>وبالجملة فحيث إنّ كلام المحقّق النائيني (قدس سره) قد تضمن دعويين</w:t>
      </w:r>
      <w:r w:rsidRPr="00161A6D">
        <w:rPr>
          <w:rFonts w:ascii="mylotus" w:hAnsi="mylotus"/>
          <w:sz w:val="34"/>
          <w:szCs w:val="34"/>
        </w:rPr>
        <w:t>:</w:t>
      </w:r>
    </w:p>
    <w:p w14:paraId="73D0A9E6" w14:textId="77777777" w:rsidR="00161A6D" w:rsidRPr="00161A6D" w:rsidRDefault="00161A6D" w:rsidP="0068262E">
      <w:pPr>
        <w:pStyle w:val="a0"/>
        <w:widowControl w:val="0"/>
        <w:bidi/>
        <w:spacing w:line="216" w:lineRule="auto"/>
        <w:rPr>
          <w:rFonts w:ascii="mylotus" w:hAnsi="mylotus"/>
          <w:sz w:val="34"/>
          <w:szCs w:val="34"/>
          <w:rtl/>
        </w:rPr>
      </w:pPr>
      <w:r w:rsidRPr="00161A6D">
        <w:rPr>
          <w:rFonts w:ascii="mylotus" w:hAnsi="mylotus"/>
          <w:sz w:val="34"/>
          <w:szCs w:val="34"/>
          <w:rtl/>
        </w:rPr>
        <w:t>الدعوى الأُولى: أنّ العنوان المطروح للبحث يوهم أنّ القائل بالجواز لا يعترف بتضاد الحكمين</w:t>
      </w:r>
      <w:r w:rsidRPr="00161A6D">
        <w:rPr>
          <w:rFonts w:ascii="mylotus" w:hAnsi="mylotus"/>
          <w:sz w:val="34"/>
          <w:szCs w:val="34"/>
        </w:rPr>
        <w:t>.</w:t>
      </w:r>
    </w:p>
    <w:p w14:paraId="66977329" w14:textId="09D8FC90" w:rsidR="001D23EB" w:rsidRDefault="00161A6D" w:rsidP="0068262E">
      <w:pPr>
        <w:pStyle w:val="a0"/>
        <w:widowControl w:val="0"/>
        <w:bidi/>
        <w:spacing w:line="216" w:lineRule="auto"/>
        <w:rPr>
          <w:rFonts w:ascii="mylotus" w:hAnsi="mylotus" w:hint="cs"/>
          <w:sz w:val="34"/>
          <w:szCs w:val="34"/>
          <w:rtl/>
        </w:rPr>
      </w:pPr>
      <w:r w:rsidRPr="00161A6D">
        <w:rPr>
          <w:rFonts w:ascii="mylotus" w:hAnsi="mylotus"/>
          <w:sz w:val="34"/>
          <w:szCs w:val="34"/>
          <w:rtl/>
        </w:rPr>
        <w:t xml:space="preserve">الدعوى الثانية: أنّ البحث في المقام </w:t>
      </w:r>
      <w:proofErr w:type="spellStart"/>
      <w:r w:rsidRPr="00161A6D">
        <w:rPr>
          <w:rFonts w:ascii="mylotus" w:hAnsi="mylotus"/>
          <w:sz w:val="34"/>
          <w:szCs w:val="34"/>
          <w:rtl/>
        </w:rPr>
        <w:t>كبروي</w:t>
      </w:r>
      <w:proofErr w:type="spellEnd"/>
      <w:r w:rsidRPr="00161A6D">
        <w:rPr>
          <w:rFonts w:ascii="mylotus" w:hAnsi="mylotus"/>
          <w:sz w:val="34"/>
          <w:szCs w:val="34"/>
          <w:rtl/>
        </w:rPr>
        <w:t xml:space="preserve"> كما يظهر من عبارة صاحب الكفاية، لا </w:t>
      </w:r>
      <w:proofErr w:type="spellStart"/>
      <w:r w:rsidRPr="00161A6D">
        <w:rPr>
          <w:rFonts w:ascii="mylotus" w:hAnsi="mylotus"/>
          <w:sz w:val="34"/>
          <w:szCs w:val="34"/>
          <w:rtl/>
        </w:rPr>
        <w:t>صغروي</w:t>
      </w:r>
      <w:proofErr w:type="spellEnd"/>
      <w:r w:rsidRPr="00161A6D">
        <w:rPr>
          <w:rFonts w:ascii="mylotus" w:hAnsi="mylotus"/>
          <w:sz w:val="34"/>
          <w:szCs w:val="34"/>
          <w:rtl/>
        </w:rPr>
        <w:t xml:space="preserve"> كما يظهر من عبائر</w:t>
      </w:r>
      <w:r w:rsidR="001D23EB">
        <w:rPr>
          <w:rFonts w:ascii="mylotus" w:hAnsi="mylotus"/>
          <w:sz w:val="34"/>
          <w:szCs w:val="34"/>
          <w:rtl/>
        </w:rPr>
        <w:t xml:space="preserve"> </w:t>
      </w:r>
      <w:r w:rsidRPr="00161A6D">
        <w:rPr>
          <w:rFonts w:ascii="mylotus" w:hAnsi="mylotus"/>
          <w:sz w:val="34"/>
          <w:szCs w:val="34"/>
          <w:rtl/>
        </w:rPr>
        <w:t>المحقّق النائيني (قدس سره</w:t>
      </w:r>
      <w:r w:rsidR="001D23EB">
        <w:rPr>
          <w:rFonts w:ascii="mylotus" w:hAnsi="mylotus" w:hint="cs"/>
          <w:sz w:val="34"/>
          <w:szCs w:val="34"/>
          <w:rtl/>
        </w:rPr>
        <w:t>).</w:t>
      </w:r>
    </w:p>
    <w:p w14:paraId="35D453AA" w14:textId="7CFA346F" w:rsidR="001D23EB" w:rsidRPr="001D23EB" w:rsidRDefault="001D23EB" w:rsidP="0068262E">
      <w:pPr>
        <w:pStyle w:val="a0"/>
        <w:widowControl w:val="0"/>
        <w:bidi/>
        <w:spacing w:line="216" w:lineRule="auto"/>
        <w:rPr>
          <w:rFonts w:ascii="mylotus" w:hAnsi="mylotus" w:hint="cs"/>
          <w:b/>
          <w:bCs/>
          <w:sz w:val="34"/>
          <w:szCs w:val="34"/>
          <w:rtl/>
        </w:rPr>
      </w:pPr>
      <w:r w:rsidRPr="001D23EB">
        <w:rPr>
          <w:rFonts w:ascii="mylotus" w:hAnsi="mylotus" w:hint="cs"/>
          <w:b/>
          <w:bCs/>
          <w:sz w:val="34"/>
          <w:szCs w:val="34"/>
          <w:rtl/>
        </w:rPr>
        <w:t>و</w:t>
      </w:r>
      <w:r w:rsidR="00161A6D" w:rsidRPr="001D23EB">
        <w:rPr>
          <w:rFonts w:ascii="mylotus" w:hAnsi="mylotus"/>
          <w:b/>
          <w:bCs/>
          <w:sz w:val="34"/>
          <w:szCs w:val="34"/>
          <w:rtl/>
        </w:rPr>
        <w:t>قد تصدى سيد المنتقى (قدس سره الشريف) إلى نقد كلتا ال</w:t>
      </w:r>
      <w:r w:rsidRPr="001D23EB">
        <w:rPr>
          <w:rFonts w:ascii="mylotus" w:hAnsi="mylotus"/>
          <w:b/>
          <w:bCs/>
          <w:sz w:val="34"/>
          <w:szCs w:val="34"/>
          <w:rtl/>
        </w:rPr>
        <w:t>دعويين</w:t>
      </w:r>
      <w:r>
        <w:rPr>
          <w:rFonts w:ascii="mylotus" w:hAnsi="mylotus"/>
          <w:b/>
          <w:bCs/>
          <w:sz w:val="34"/>
          <w:szCs w:val="34"/>
          <w:rtl/>
        </w:rPr>
        <w:t xml:space="preserve"> </w:t>
      </w:r>
      <w:r w:rsidRPr="001D23EB">
        <w:rPr>
          <w:rFonts w:ascii="mylotus" w:hAnsi="mylotus"/>
          <w:b/>
          <w:bCs/>
          <w:sz w:val="34"/>
          <w:szCs w:val="34"/>
          <w:rtl/>
        </w:rPr>
        <w:t>[في ج3 ص18] بعرض أمرين</w:t>
      </w:r>
      <w:r w:rsidRPr="001D23EB">
        <w:rPr>
          <w:rFonts w:ascii="mylotus" w:hAnsi="mylotus" w:hint="cs"/>
          <w:b/>
          <w:bCs/>
          <w:sz w:val="34"/>
          <w:szCs w:val="34"/>
          <w:rtl/>
        </w:rPr>
        <w:t>:</w:t>
      </w:r>
    </w:p>
    <w:p w14:paraId="16278024" w14:textId="0778945D" w:rsidR="001D23EB" w:rsidRDefault="00161A6D" w:rsidP="0068262E">
      <w:pPr>
        <w:pStyle w:val="a0"/>
        <w:widowControl w:val="0"/>
        <w:bidi/>
        <w:spacing w:line="216" w:lineRule="auto"/>
        <w:rPr>
          <w:rFonts w:ascii="mylotus" w:hAnsi="mylotus" w:hint="cs"/>
          <w:sz w:val="34"/>
          <w:szCs w:val="34"/>
          <w:rtl/>
        </w:rPr>
      </w:pPr>
      <w:r w:rsidRPr="001D23EB">
        <w:rPr>
          <w:rFonts w:ascii="mylotus" w:hAnsi="mylotus"/>
          <w:b/>
          <w:bCs/>
          <w:sz w:val="34"/>
          <w:szCs w:val="34"/>
          <w:rtl/>
        </w:rPr>
        <w:t>أحدهما:</w:t>
      </w:r>
      <w:r w:rsidRPr="00161A6D">
        <w:rPr>
          <w:rFonts w:ascii="mylotus" w:hAnsi="mylotus"/>
          <w:sz w:val="34"/>
          <w:szCs w:val="34"/>
          <w:rtl/>
        </w:rPr>
        <w:t xml:space="preserve"> ما أفاده من أنه لا إشكال في أن اجتم</w:t>
      </w:r>
      <w:r w:rsidR="001D23EB">
        <w:rPr>
          <w:rFonts w:ascii="mylotus" w:hAnsi="mylotus"/>
          <w:sz w:val="34"/>
          <w:szCs w:val="34"/>
          <w:rtl/>
        </w:rPr>
        <w:t>اع أمرين متنافيين في شيء واحد -</w:t>
      </w:r>
      <w:r w:rsidRPr="00161A6D">
        <w:rPr>
          <w:rFonts w:ascii="mylotus" w:hAnsi="mylotus"/>
          <w:sz w:val="34"/>
          <w:szCs w:val="34"/>
          <w:rtl/>
        </w:rPr>
        <w:t>عرفا</w:t>
      </w:r>
      <w:r w:rsidR="001D23EB">
        <w:rPr>
          <w:rFonts w:ascii="mylotus" w:hAnsi="mylotus" w:hint="cs"/>
          <w:sz w:val="34"/>
          <w:szCs w:val="34"/>
          <w:rtl/>
        </w:rPr>
        <w:t>ً</w:t>
      </w:r>
      <w:r w:rsidR="001D23EB">
        <w:rPr>
          <w:rFonts w:ascii="mylotus" w:hAnsi="mylotus"/>
          <w:sz w:val="34"/>
          <w:szCs w:val="34"/>
          <w:rtl/>
        </w:rPr>
        <w:t xml:space="preserve">- قد يكون </w:t>
      </w:r>
      <w:r w:rsidR="001D23EB">
        <w:rPr>
          <w:rFonts w:ascii="mylotus" w:hAnsi="mylotus"/>
          <w:sz w:val="34"/>
          <w:szCs w:val="34"/>
          <w:rtl/>
        </w:rPr>
        <w:lastRenderedPageBreak/>
        <w:t>على نحوين</w:t>
      </w:r>
      <w:r w:rsidR="001D23EB">
        <w:rPr>
          <w:rFonts w:ascii="mylotus" w:hAnsi="mylotus" w:hint="cs"/>
          <w:sz w:val="34"/>
          <w:szCs w:val="34"/>
          <w:rtl/>
        </w:rPr>
        <w:t xml:space="preserve">: </w:t>
      </w:r>
      <w:r w:rsidR="001D23EB">
        <w:rPr>
          <w:rFonts w:ascii="mylotus" w:hAnsi="mylotus"/>
          <w:sz w:val="34"/>
          <w:szCs w:val="34"/>
          <w:rtl/>
        </w:rPr>
        <w:t>ممكن، وممتنع</w:t>
      </w:r>
      <w:r w:rsidR="001D23EB">
        <w:rPr>
          <w:rFonts w:ascii="mylotus" w:hAnsi="mylotus" w:hint="cs"/>
          <w:sz w:val="34"/>
          <w:szCs w:val="34"/>
          <w:rtl/>
        </w:rPr>
        <w:t>.</w:t>
      </w:r>
      <w:r w:rsidRPr="00161A6D">
        <w:rPr>
          <w:rFonts w:ascii="mylotus" w:hAnsi="mylotus"/>
          <w:sz w:val="34"/>
          <w:szCs w:val="34"/>
          <w:rtl/>
        </w:rPr>
        <w:t xml:space="preserve"> </w:t>
      </w:r>
      <w:r w:rsidR="001D23EB">
        <w:rPr>
          <w:rFonts w:ascii="mylotus" w:hAnsi="mylotus" w:hint="cs"/>
          <w:sz w:val="34"/>
          <w:szCs w:val="34"/>
          <w:rtl/>
        </w:rPr>
        <w:t>ف</w:t>
      </w:r>
      <w:r w:rsidRPr="00161A6D">
        <w:rPr>
          <w:rFonts w:ascii="mylotus" w:hAnsi="mylotus"/>
          <w:sz w:val="34"/>
          <w:szCs w:val="34"/>
          <w:rtl/>
        </w:rPr>
        <w:t>مثلاً اجتماع الماء والنار، فإن اجتماع الماء والنار في إناء واحد اجتماع للمتنافيين في مكان واحد لكنه ممكن، بينما اجتماع الماء والنار في نقطة واحدة محال. والبحث في المقام</w:t>
      </w:r>
      <w:r w:rsidR="001D23EB">
        <w:rPr>
          <w:rFonts w:ascii="mylotus" w:hAnsi="mylotus"/>
          <w:sz w:val="34"/>
          <w:szCs w:val="34"/>
          <w:rtl/>
        </w:rPr>
        <w:t xml:space="preserve">: </w:t>
      </w:r>
      <w:r w:rsidRPr="00161A6D">
        <w:rPr>
          <w:rFonts w:ascii="mylotus" w:hAnsi="mylotus"/>
          <w:sz w:val="34"/>
          <w:szCs w:val="34"/>
          <w:rtl/>
        </w:rPr>
        <w:t xml:space="preserve">في أن اجتماع المنهي عنه والمأمور به في واحد -كالطواف في الساتر </w:t>
      </w:r>
      <w:proofErr w:type="spellStart"/>
      <w:r w:rsidRPr="00161A6D">
        <w:rPr>
          <w:rFonts w:ascii="mylotus" w:hAnsi="mylotus"/>
          <w:sz w:val="34"/>
          <w:szCs w:val="34"/>
          <w:rtl/>
        </w:rPr>
        <w:t>الغصبي</w:t>
      </w:r>
      <w:proofErr w:type="spellEnd"/>
      <w:r w:rsidRPr="00161A6D">
        <w:rPr>
          <w:rFonts w:ascii="mylotus" w:hAnsi="mylotus"/>
          <w:sz w:val="34"/>
          <w:szCs w:val="34"/>
          <w:rtl/>
        </w:rPr>
        <w:t>- هل هو من النح</w:t>
      </w:r>
      <w:r w:rsidR="001D23EB">
        <w:rPr>
          <w:rFonts w:ascii="mylotus" w:hAnsi="mylotus"/>
          <w:sz w:val="34"/>
          <w:szCs w:val="34"/>
          <w:rtl/>
        </w:rPr>
        <w:t>و الممتنع أو النحو الممكن؟</w:t>
      </w:r>
      <w:r w:rsidRPr="00161A6D">
        <w:rPr>
          <w:rFonts w:ascii="mylotus" w:hAnsi="mylotus"/>
          <w:sz w:val="34"/>
          <w:szCs w:val="34"/>
          <w:rtl/>
        </w:rPr>
        <w:t xml:space="preserve"> فيصح البحث في جواز اجتماع الأمر والنهي في واحد ذي و</w:t>
      </w:r>
      <w:r w:rsidR="001D23EB">
        <w:rPr>
          <w:rFonts w:ascii="mylotus" w:hAnsi="mylotus"/>
          <w:sz w:val="34"/>
          <w:szCs w:val="34"/>
          <w:rtl/>
        </w:rPr>
        <w:t xml:space="preserve">جهين -كالطواف في الساتر </w:t>
      </w:r>
      <w:proofErr w:type="spellStart"/>
      <w:r w:rsidR="001D23EB">
        <w:rPr>
          <w:rFonts w:ascii="mylotus" w:hAnsi="mylotus"/>
          <w:sz w:val="34"/>
          <w:szCs w:val="34"/>
          <w:rtl/>
        </w:rPr>
        <w:t>الغصبي</w:t>
      </w:r>
      <w:proofErr w:type="spellEnd"/>
      <w:r w:rsidRPr="00161A6D">
        <w:rPr>
          <w:rFonts w:ascii="mylotus" w:hAnsi="mylotus"/>
          <w:sz w:val="34"/>
          <w:szCs w:val="34"/>
          <w:rtl/>
        </w:rPr>
        <w:t>-</w:t>
      </w:r>
      <w:r w:rsidR="001D23EB">
        <w:rPr>
          <w:rFonts w:ascii="mylotus" w:hAnsi="mylotus" w:hint="cs"/>
          <w:sz w:val="34"/>
          <w:szCs w:val="34"/>
          <w:rtl/>
        </w:rPr>
        <w:t xml:space="preserve"> </w:t>
      </w:r>
      <w:r w:rsidRPr="00161A6D">
        <w:rPr>
          <w:rFonts w:ascii="mylotus" w:hAnsi="mylotus"/>
          <w:sz w:val="34"/>
          <w:szCs w:val="34"/>
          <w:rtl/>
        </w:rPr>
        <w:t>والوضوء بالماء المغصوب</w:t>
      </w:r>
      <w:r w:rsidR="001D23EB">
        <w:rPr>
          <w:rFonts w:ascii="mylotus" w:hAnsi="mylotus"/>
          <w:sz w:val="34"/>
          <w:szCs w:val="34"/>
          <w:rtl/>
        </w:rPr>
        <w:t>،</w:t>
      </w:r>
      <w:r w:rsidRPr="00161A6D">
        <w:rPr>
          <w:rFonts w:ascii="mylotus" w:hAnsi="mylotus"/>
          <w:sz w:val="34"/>
          <w:szCs w:val="34"/>
          <w:rtl/>
        </w:rPr>
        <w:t xml:space="preserve"> ومنشأ الخلاف هو أن هذا الواحد ذا الوجهين واحد حقيقة أو متعدد؟ فيمتنع </w:t>
      </w:r>
      <w:proofErr w:type="spellStart"/>
      <w:r w:rsidRPr="00161A6D">
        <w:rPr>
          <w:rFonts w:ascii="mylotus" w:hAnsi="mylotus"/>
          <w:sz w:val="34"/>
          <w:szCs w:val="34"/>
          <w:rtl/>
        </w:rPr>
        <w:t>الإجتم</w:t>
      </w:r>
      <w:r w:rsidR="001D23EB">
        <w:rPr>
          <w:rFonts w:ascii="mylotus" w:hAnsi="mylotus"/>
          <w:sz w:val="34"/>
          <w:szCs w:val="34"/>
          <w:rtl/>
        </w:rPr>
        <w:t>اع</w:t>
      </w:r>
      <w:proofErr w:type="spellEnd"/>
      <w:r w:rsidR="001D23EB">
        <w:rPr>
          <w:rFonts w:ascii="mylotus" w:hAnsi="mylotus"/>
          <w:sz w:val="34"/>
          <w:szCs w:val="34"/>
          <w:rtl/>
        </w:rPr>
        <w:t xml:space="preserve"> على الأول، ويجوز على الثاني</w:t>
      </w:r>
      <w:r w:rsidR="001D23EB">
        <w:rPr>
          <w:rFonts w:ascii="mylotus" w:hAnsi="mylotus" w:hint="cs"/>
          <w:sz w:val="34"/>
          <w:szCs w:val="34"/>
          <w:rtl/>
        </w:rPr>
        <w:t>.</w:t>
      </w:r>
      <w:r w:rsidRPr="00161A6D">
        <w:rPr>
          <w:rFonts w:ascii="mylotus" w:hAnsi="mylotus"/>
          <w:sz w:val="34"/>
          <w:szCs w:val="34"/>
          <w:rtl/>
        </w:rPr>
        <w:t xml:space="preserve"> وتبين بذلك أن العنوان </w:t>
      </w:r>
      <w:r w:rsidR="001D23EB">
        <w:rPr>
          <w:rFonts w:ascii="mylotus" w:hAnsi="mylotus"/>
          <w:sz w:val="34"/>
          <w:szCs w:val="34"/>
          <w:rtl/>
        </w:rPr>
        <w:t>(</w:t>
      </w:r>
      <w:r w:rsidRPr="00161A6D">
        <w:rPr>
          <w:rFonts w:ascii="mylotus" w:hAnsi="mylotus"/>
          <w:sz w:val="34"/>
          <w:szCs w:val="34"/>
          <w:rtl/>
        </w:rPr>
        <w:t>مفتاح البحث</w:t>
      </w:r>
      <w:r w:rsidR="001D23EB">
        <w:rPr>
          <w:rFonts w:ascii="mylotus" w:hAnsi="mylotus"/>
          <w:sz w:val="34"/>
          <w:szCs w:val="34"/>
          <w:rtl/>
        </w:rPr>
        <w:t xml:space="preserve">) </w:t>
      </w:r>
      <w:r w:rsidRPr="00161A6D">
        <w:rPr>
          <w:rFonts w:ascii="mylotus" w:hAnsi="mylotus"/>
          <w:sz w:val="34"/>
          <w:szCs w:val="34"/>
          <w:rtl/>
        </w:rPr>
        <w:t>لا</w:t>
      </w:r>
      <w:r w:rsidR="001D23EB">
        <w:rPr>
          <w:rFonts w:ascii="mylotus" w:hAnsi="mylotus" w:hint="cs"/>
          <w:sz w:val="34"/>
          <w:szCs w:val="34"/>
          <w:rtl/>
        </w:rPr>
        <w:t xml:space="preserve"> </w:t>
      </w:r>
      <w:r w:rsidRPr="00161A6D">
        <w:rPr>
          <w:rFonts w:ascii="mylotus" w:hAnsi="mylotus"/>
          <w:sz w:val="34"/>
          <w:szCs w:val="34"/>
          <w:rtl/>
        </w:rPr>
        <w:t>يوهم أن القول ب</w:t>
      </w:r>
      <w:r w:rsidR="001D23EB">
        <w:rPr>
          <w:rFonts w:ascii="mylotus" w:hAnsi="mylotus"/>
          <w:sz w:val="34"/>
          <w:szCs w:val="34"/>
          <w:rtl/>
        </w:rPr>
        <w:t xml:space="preserve">الجواز يعني </w:t>
      </w:r>
      <w:r w:rsidR="001D23EB">
        <w:rPr>
          <w:rFonts w:ascii="mylotus" w:hAnsi="mylotus" w:hint="cs"/>
          <w:sz w:val="34"/>
          <w:szCs w:val="34"/>
          <w:rtl/>
        </w:rPr>
        <w:t>(</w:t>
      </w:r>
      <w:r w:rsidRPr="00161A6D">
        <w:rPr>
          <w:rFonts w:ascii="mylotus" w:hAnsi="mylotus"/>
          <w:sz w:val="34"/>
          <w:szCs w:val="34"/>
          <w:rtl/>
        </w:rPr>
        <w:t>الاعتراف بعدم تضاد</w:t>
      </w:r>
      <w:r w:rsidR="001D23EB">
        <w:rPr>
          <w:rFonts w:ascii="mylotus" w:hAnsi="mylotus" w:hint="cs"/>
          <w:sz w:val="34"/>
          <w:szCs w:val="34"/>
          <w:rtl/>
        </w:rPr>
        <w:t xml:space="preserve"> </w:t>
      </w:r>
      <w:r w:rsidRPr="00161A6D">
        <w:rPr>
          <w:rFonts w:ascii="mylotus" w:hAnsi="mylotus"/>
          <w:sz w:val="34"/>
          <w:szCs w:val="34"/>
          <w:rtl/>
        </w:rPr>
        <w:t>الحكمين</w:t>
      </w:r>
      <w:r w:rsidR="001D23EB">
        <w:rPr>
          <w:rFonts w:ascii="mylotus" w:hAnsi="mylotus" w:hint="cs"/>
          <w:sz w:val="34"/>
          <w:szCs w:val="34"/>
          <w:rtl/>
        </w:rPr>
        <w:t>)</w:t>
      </w:r>
      <w:r w:rsidRPr="00161A6D">
        <w:rPr>
          <w:rFonts w:ascii="mylotus" w:hAnsi="mylotus"/>
          <w:sz w:val="34"/>
          <w:szCs w:val="34"/>
          <w:rtl/>
        </w:rPr>
        <w:t xml:space="preserve"> حيث إن مرجع البحث إلى أن ال</w:t>
      </w:r>
      <w:r w:rsidR="001D23EB">
        <w:rPr>
          <w:rFonts w:ascii="mylotus" w:hAnsi="mylotus"/>
          <w:sz w:val="34"/>
          <w:szCs w:val="34"/>
          <w:rtl/>
        </w:rPr>
        <w:t>واحد ذا الوجهين واحد حقيقة أم ل</w:t>
      </w:r>
      <w:r w:rsidR="001D23EB">
        <w:rPr>
          <w:rFonts w:ascii="mylotus" w:hAnsi="mylotus" w:hint="cs"/>
          <w:sz w:val="34"/>
          <w:szCs w:val="34"/>
          <w:rtl/>
        </w:rPr>
        <w:t>ا</w:t>
      </w:r>
      <w:r w:rsidRPr="00161A6D">
        <w:rPr>
          <w:rFonts w:ascii="mylotus" w:hAnsi="mylotus"/>
          <w:sz w:val="34"/>
          <w:szCs w:val="34"/>
          <w:rtl/>
        </w:rPr>
        <w:t>؟</w:t>
      </w:r>
    </w:p>
    <w:p w14:paraId="707B8154" w14:textId="58078EE3" w:rsidR="00161A6D" w:rsidRPr="00161A6D" w:rsidRDefault="00161A6D" w:rsidP="0068262E">
      <w:pPr>
        <w:pStyle w:val="a0"/>
        <w:widowControl w:val="0"/>
        <w:bidi/>
        <w:spacing w:line="216" w:lineRule="auto"/>
        <w:rPr>
          <w:rFonts w:ascii="mylotus" w:hAnsi="mylotus"/>
          <w:sz w:val="34"/>
          <w:szCs w:val="34"/>
          <w:rtl/>
        </w:rPr>
      </w:pPr>
      <w:r w:rsidRPr="001D23EB">
        <w:rPr>
          <w:rFonts w:ascii="mylotus" w:hAnsi="mylotus"/>
          <w:b/>
          <w:bCs/>
          <w:sz w:val="34"/>
          <w:szCs w:val="34"/>
          <w:rtl/>
        </w:rPr>
        <w:t>وثانيهما:</w:t>
      </w:r>
      <w:r w:rsidRPr="00161A6D">
        <w:rPr>
          <w:rFonts w:ascii="mylotus" w:hAnsi="mylotus"/>
          <w:sz w:val="34"/>
          <w:szCs w:val="34"/>
          <w:rtl/>
        </w:rPr>
        <w:t xml:space="preserve"> أن الأولى هو العنوان الذي طرحه المشهور وصاحب الكفاية </w:t>
      </w:r>
      <w:r w:rsidR="001D23EB">
        <w:rPr>
          <w:rFonts w:ascii="mylotus" w:hAnsi="mylotus" w:hint="cs"/>
          <w:sz w:val="34"/>
          <w:szCs w:val="34"/>
          <w:rtl/>
        </w:rPr>
        <w:t>(</w:t>
      </w:r>
      <w:r w:rsidRPr="00161A6D">
        <w:rPr>
          <w:rFonts w:ascii="mylotus" w:hAnsi="mylotus"/>
          <w:sz w:val="34"/>
          <w:szCs w:val="34"/>
          <w:rtl/>
        </w:rPr>
        <w:t>قد</w:t>
      </w:r>
      <w:r w:rsidR="001D23EB">
        <w:rPr>
          <w:rFonts w:ascii="mylotus" w:hAnsi="mylotus" w:hint="cs"/>
          <w:sz w:val="34"/>
          <w:szCs w:val="34"/>
          <w:rtl/>
        </w:rPr>
        <w:t>س سر</w:t>
      </w:r>
      <w:r w:rsidRPr="00161A6D">
        <w:rPr>
          <w:rFonts w:ascii="mylotus" w:hAnsi="mylotus"/>
          <w:sz w:val="34"/>
          <w:szCs w:val="34"/>
          <w:rtl/>
        </w:rPr>
        <w:t>ه</w:t>
      </w:r>
      <w:r w:rsidR="001D23EB">
        <w:rPr>
          <w:rFonts w:ascii="mylotus" w:hAnsi="mylotus" w:hint="cs"/>
          <w:sz w:val="34"/>
          <w:szCs w:val="34"/>
          <w:rtl/>
        </w:rPr>
        <w:t>)</w:t>
      </w:r>
      <w:r w:rsidR="001D23EB">
        <w:rPr>
          <w:rFonts w:ascii="mylotus" w:hAnsi="mylotus"/>
          <w:sz w:val="34"/>
          <w:szCs w:val="34"/>
          <w:rtl/>
        </w:rPr>
        <w:t>،</w:t>
      </w:r>
      <w:r w:rsidRPr="00161A6D">
        <w:rPr>
          <w:rFonts w:ascii="mylotus" w:hAnsi="mylotus"/>
          <w:sz w:val="34"/>
          <w:szCs w:val="34"/>
          <w:rtl/>
        </w:rPr>
        <w:t xml:space="preserve"> والوجه في ذلك أن المحقق النائيني </w:t>
      </w:r>
      <w:r w:rsidR="001D23EB">
        <w:rPr>
          <w:rFonts w:ascii="mylotus" w:hAnsi="mylotus" w:hint="cs"/>
          <w:sz w:val="34"/>
          <w:szCs w:val="34"/>
          <w:rtl/>
        </w:rPr>
        <w:t>(</w:t>
      </w:r>
      <w:bookmarkStart w:id="0" w:name="_GoBack"/>
      <w:r w:rsidRPr="00161A6D">
        <w:rPr>
          <w:rFonts w:ascii="mylotus" w:hAnsi="mylotus"/>
          <w:sz w:val="34"/>
          <w:szCs w:val="34"/>
          <w:rtl/>
        </w:rPr>
        <w:t>قد</w:t>
      </w:r>
      <w:bookmarkEnd w:id="0"/>
      <w:r w:rsidR="001D23EB">
        <w:rPr>
          <w:rFonts w:ascii="mylotus" w:hAnsi="mylotus" w:hint="cs"/>
          <w:sz w:val="34"/>
          <w:szCs w:val="34"/>
          <w:rtl/>
        </w:rPr>
        <w:t>س سر</w:t>
      </w:r>
      <w:r w:rsidRPr="00161A6D">
        <w:rPr>
          <w:rFonts w:ascii="mylotus" w:hAnsi="mylotus"/>
          <w:sz w:val="34"/>
          <w:szCs w:val="34"/>
          <w:rtl/>
        </w:rPr>
        <w:t>ه</w:t>
      </w:r>
      <w:r w:rsidR="001D23EB">
        <w:rPr>
          <w:rFonts w:ascii="mylotus" w:hAnsi="mylotus" w:hint="cs"/>
          <w:sz w:val="34"/>
          <w:szCs w:val="34"/>
          <w:rtl/>
        </w:rPr>
        <w:t>)</w:t>
      </w:r>
      <w:r w:rsidRPr="00161A6D">
        <w:rPr>
          <w:rFonts w:ascii="mylotus" w:hAnsi="mylotus"/>
          <w:sz w:val="34"/>
          <w:szCs w:val="34"/>
          <w:rtl/>
        </w:rPr>
        <w:t xml:space="preserve"> وغيره قد ركز البحث في أن الجهتين تقييديتان فيكون متعلق الأمر</w:t>
      </w:r>
      <w:r w:rsidR="001D23EB">
        <w:rPr>
          <w:rFonts w:ascii="mylotus" w:hAnsi="mylotus"/>
          <w:sz w:val="34"/>
          <w:szCs w:val="34"/>
          <w:rtl/>
        </w:rPr>
        <w:t xml:space="preserve"> </w:t>
      </w:r>
      <w:r w:rsidRPr="00161A6D">
        <w:rPr>
          <w:rFonts w:ascii="mylotus" w:hAnsi="mylotus"/>
          <w:sz w:val="34"/>
          <w:szCs w:val="34"/>
          <w:rtl/>
        </w:rPr>
        <w:t>غير متعلق النهي</w:t>
      </w:r>
      <w:r w:rsidR="001D23EB">
        <w:rPr>
          <w:rFonts w:ascii="mylotus" w:hAnsi="mylotus"/>
          <w:sz w:val="34"/>
          <w:szCs w:val="34"/>
          <w:rtl/>
        </w:rPr>
        <w:t>،</w:t>
      </w:r>
      <w:r w:rsidRPr="00161A6D">
        <w:rPr>
          <w:rFonts w:ascii="mylotus" w:hAnsi="mylotus"/>
          <w:sz w:val="34"/>
          <w:szCs w:val="34"/>
          <w:rtl/>
        </w:rPr>
        <w:t xml:space="preserve"> أو تعليليتان فيتحد متعلق الأمر والنهي</w:t>
      </w:r>
      <w:r w:rsidR="001D23EB">
        <w:rPr>
          <w:rFonts w:ascii="mylotus" w:hAnsi="mylotus"/>
          <w:sz w:val="34"/>
          <w:szCs w:val="34"/>
          <w:rtl/>
        </w:rPr>
        <w:t>،</w:t>
      </w:r>
      <w:r w:rsidRPr="00161A6D">
        <w:rPr>
          <w:rFonts w:ascii="mylotus" w:hAnsi="mylotus"/>
          <w:sz w:val="34"/>
          <w:szCs w:val="34"/>
          <w:rtl/>
        </w:rPr>
        <w:t xml:space="preserve"> وبناء</w:t>
      </w:r>
      <w:r w:rsidR="001D23EB">
        <w:rPr>
          <w:rFonts w:ascii="mylotus" w:hAnsi="mylotus" w:hint="cs"/>
          <w:sz w:val="34"/>
          <w:szCs w:val="34"/>
          <w:rtl/>
        </w:rPr>
        <w:t>َ</w:t>
      </w:r>
      <w:r w:rsidRPr="00161A6D">
        <w:rPr>
          <w:rFonts w:ascii="mylotus" w:hAnsi="mylotus"/>
          <w:sz w:val="34"/>
          <w:szCs w:val="34"/>
          <w:rtl/>
        </w:rPr>
        <w:t xml:space="preserve"> عليه تتحقق السراية على الثاني دون الأول</w:t>
      </w:r>
      <w:r w:rsidR="001D23EB">
        <w:rPr>
          <w:rFonts w:ascii="mylotus" w:hAnsi="mylotus"/>
          <w:sz w:val="34"/>
          <w:szCs w:val="34"/>
          <w:rtl/>
        </w:rPr>
        <w:t>،</w:t>
      </w:r>
      <w:r w:rsidRPr="00161A6D">
        <w:rPr>
          <w:rFonts w:ascii="mylotus" w:hAnsi="mylotus"/>
          <w:sz w:val="34"/>
          <w:szCs w:val="34"/>
          <w:rtl/>
        </w:rPr>
        <w:t xml:space="preserve"> وهو بحث في الصغرى وليس بحثا</w:t>
      </w:r>
      <w:r w:rsidR="001D23EB">
        <w:rPr>
          <w:rFonts w:ascii="mylotus" w:hAnsi="mylotus" w:hint="cs"/>
          <w:sz w:val="34"/>
          <w:szCs w:val="34"/>
          <w:rtl/>
        </w:rPr>
        <w:t>ً</w:t>
      </w:r>
      <w:r w:rsidRPr="00161A6D">
        <w:rPr>
          <w:rFonts w:ascii="mylotus" w:hAnsi="mylotus"/>
          <w:sz w:val="34"/>
          <w:szCs w:val="34"/>
          <w:rtl/>
        </w:rPr>
        <w:t xml:space="preserve"> في ضوء ما</w:t>
      </w:r>
      <w:r w:rsidR="001D23EB">
        <w:rPr>
          <w:rFonts w:ascii="mylotus" w:hAnsi="mylotus" w:hint="cs"/>
          <w:sz w:val="34"/>
          <w:szCs w:val="34"/>
          <w:rtl/>
        </w:rPr>
        <w:t xml:space="preserve"> </w:t>
      </w:r>
      <w:r w:rsidRPr="00161A6D">
        <w:rPr>
          <w:rFonts w:ascii="mylotus" w:hAnsi="mylotus"/>
          <w:sz w:val="34"/>
          <w:szCs w:val="34"/>
          <w:rtl/>
        </w:rPr>
        <w:t>حرر من عنوان البحث</w:t>
      </w:r>
      <w:r w:rsidRPr="00161A6D">
        <w:rPr>
          <w:rFonts w:ascii="mylotus" w:hAnsi="mylotus"/>
          <w:sz w:val="34"/>
          <w:szCs w:val="34"/>
        </w:rPr>
        <w:t>.</w:t>
      </w:r>
    </w:p>
    <w:p w14:paraId="4D1D6AA7" w14:textId="465FCF7C" w:rsidR="00161A6D" w:rsidRPr="00161A6D" w:rsidRDefault="00161A6D" w:rsidP="0068262E">
      <w:pPr>
        <w:pStyle w:val="a0"/>
        <w:widowControl w:val="0"/>
        <w:bidi/>
        <w:spacing w:line="216" w:lineRule="auto"/>
        <w:rPr>
          <w:rFonts w:ascii="mylotus" w:hAnsi="mylotus"/>
          <w:sz w:val="34"/>
          <w:szCs w:val="34"/>
          <w:rtl/>
        </w:rPr>
      </w:pPr>
      <w:r w:rsidRPr="00161A6D">
        <w:rPr>
          <w:rFonts w:ascii="mylotus" w:hAnsi="mylotus"/>
          <w:sz w:val="34"/>
          <w:szCs w:val="34"/>
          <w:rtl/>
        </w:rPr>
        <w:t>وحاصل ما أفاده قدس سره أن</w:t>
      </w:r>
      <w:r w:rsidR="001D23EB">
        <w:rPr>
          <w:rFonts w:ascii="mylotus" w:hAnsi="mylotus"/>
          <w:sz w:val="34"/>
          <w:szCs w:val="34"/>
          <w:rtl/>
        </w:rPr>
        <w:t xml:space="preserve"> </w:t>
      </w:r>
      <w:r w:rsidRPr="00161A6D">
        <w:rPr>
          <w:rFonts w:ascii="mylotus" w:hAnsi="mylotus"/>
          <w:sz w:val="34"/>
          <w:szCs w:val="34"/>
          <w:rtl/>
        </w:rPr>
        <w:t>الأولى التحفظ على عنوان المشهور لكونه هو المناسب لواقع البحث وهو البحث في الكبرى</w:t>
      </w:r>
      <w:r w:rsidR="001D23EB">
        <w:rPr>
          <w:rFonts w:ascii="mylotus" w:hAnsi="mylotus"/>
          <w:sz w:val="34"/>
          <w:szCs w:val="34"/>
          <w:rtl/>
        </w:rPr>
        <w:t>،</w:t>
      </w:r>
      <w:r w:rsidR="0068262E">
        <w:rPr>
          <w:rFonts w:ascii="mylotus" w:hAnsi="mylotus"/>
          <w:sz w:val="34"/>
          <w:szCs w:val="34"/>
          <w:rtl/>
        </w:rPr>
        <w:t xml:space="preserve"> و</w:t>
      </w:r>
      <w:r w:rsidRPr="00161A6D">
        <w:rPr>
          <w:rFonts w:ascii="mylotus" w:hAnsi="mylotus"/>
          <w:sz w:val="34"/>
          <w:szCs w:val="34"/>
          <w:rtl/>
        </w:rPr>
        <w:t>نحن وإن ك</w:t>
      </w:r>
      <w:r w:rsidR="0068262E">
        <w:rPr>
          <w:rFonts w:ascii="mylotus" w:hAnsi="mylotus"/>
          <w:sz w:val="34"/>
          <w:szCs w:val="34"/>
          <w:rtl/>
        </w:rPr>
        <w:t xml:space="preserve">نا </w:t>
      </w:r>
      <w:proofErr w:type="spellStart"/>
      <w:r w:rsidR="0068262E">
        <w:rPr>
          <w:rFonts w:ascii="mylotus" w:hAnsi="mylotus"/>
          <w:sz w:val="34"/>
          <w:szCs w:val="34"/>
          <w:rtl/>
        </w:rPr>
        <w:t>نوافقه</w:t>
      </w:r>
      <w:proofErr w:type="spellEnd"/>
      <w:r w:rsidR="0068262E">
        <w:rPr>
          <w:rFonts w:ascii="mylotus" w:hAnsi="mylotus"/>
          <w:sz w:val="34"/>
          <w:szCs w:val="34"/>
          <w:rtl/>
        </w:rPr>
        <w:t xml:space="preserve"> في صحة عنوان المبحث و</w:t>
      </w:r>
      <w:r w:rsidRPr="00161A6D">
        <w:rPr>
          <w:rFonts w:ascii="mylotus" w:hAnsi="mylotus"/>
          <w:sz w:val="34"/>
          <w:szCs w:val="34"/>
          <w:rtl/>
        </w:rPr>
        <w:t xml:space="preserve">أن البحث </w:t>
      </w:r>
      <w:proofErr w:type="spellStart"/>
      <w:r w:rsidRPr="00161A6D">
        <w:rPr>
          <w:rFonts w:ascii="mylotus" w:hAnsi="mylotus"/>
          <w:sz w:val="34"/>
          <w:szCs w:val="34"/>
          <w:rtl/>
        </w:rPr>
        <w:t>كبروي</w:t>
      </w:r>
      <w:proofErr w:type="spellEnd"/>
      <w:r w:rsidRPr="00161A6D">
        <w:rPr>
          <w:rFonts w:ascii="mylotus" w:hAnsi="mylotus"/>
          <w:sz w:val="34"/>
          <w:szCs w:val="34"/>
          <w:rtl/>
        </w:rPr>
        <w:t xml:space="preserve"> كما يظهر من</w:t>
      </w:r>
      <w:r w:rsidR="001D23EB">
        <w:rPr>
          <w:rFonts w:ascii="mylotus" w:hAnsi="mylotus"/>
          <w:sz w:val="34"/>
          <w:szCs w:val="34"/>
          <w:rtl/>
        </w:rPr>
        <w:t xml:space="preserve"> </w:t>
      </w:r>
      <w:r w:rsidRPr="00161A6D">
        <w:rPr>
          <w:rFonts w:ascii="mylotus" w:hAnsi="mylotus"/>
          <w:sz w:val="34"/>
          <w:szCs w:val="34"/>
          <w:rtl/>
        </w:rPr>
        <w:t>كلامه في ذيل المطلب عند بيانه ما</w:t>
      </w:r>
      <w:r w:rsidR="001D23EB">
        <w:rPr>
          <w:rFonts w:ascii="mylotus" w:hAnsi="mylotus" w:hint="cs"/>
          <w:sz w:val="34"/>
          <w:szCs w:val="34"/>
          <w:rtl/>
        </w:rPr>
        <w:t xml:space="preserve"> </w:t>
      </w:r>
      <w:r w:rsidRPr="00161A6D">
        <w:rPr>
          <w:rFonts w:ascii="mylotus" w:hAnsi="mylotus"/>
          <w:sz w:val="34"/>
          <w:szCs w:val="34"/>
          <w:rtl/>
        </w:rPr>
        <w:t>هو الأولى من العنوانين</w:t>
      </w:r>
      <w:r w:rsidR="001D23EB">
        <w:rPr>
          <w:rFonts w:ascii="mylotus" w:hAnsi="mylotus"/>
          <w:sz w:val="34"/>
          <w:szCs w:val="34"/>
          <w:rtl/>
        </w:rPr>
        <w:t>،</w:t>
      </w:r>
      <w:r w:rsidRPr="00161A6D">
        <w:rPr>
          <w:rFonts w:ascii="mylotus" w:hAnsi="mylotus"/>
          <w:sz w:val="34"/>
          <w:szCs w:val="34"/>
          <w:rtl/>
        </w:rPr>
        <w:t xml:space="preserve"> لكن الكلام في التوجيه الذي ذكره سيد المنتقى </w:t>
      </w:r>
      <w:r w:rsidR="001D23EB">
        <w:rPr>
          <w:rFonts w:ascii="mylotus" w:hAnsi="mylotus" w:hint="cs"/>
          <w:sz w:val="34"/>
          <w:szCs w:val="34"/>
          <w:rtl/>
        </w:rPr>
        <w:t>(</w:t>
      </w:r>
      <w:r w:rsidRPr="00161A6D">
        <w:rPr>
          <w:rFonts w:ascii="mylotus" w:hAnsi="mylotus"/>
          <w:sz w:val="34"/>
          <w:szCs w:val="34"/>
          <w:rtl/>
        </w:rPr>
        <w:t>قدس سره</w:t>
      </w:r>
      <w:r w:rsidR="001D23EB">
        <w:rPr>
          <w:rFonts w:ascii="mylotus" w:hAnsi="mylotus" w:hint="cs"/>
          <w:sz w:val="34"/>
          <w:szCs w:val="34"/>
          <w:rtl/>
        </w:rPr>
        <w:t>)</w:t>
      </w:r>
      <w:r w:rsidRPr="00161A6D">
        <w:rPr>
          <w:rFonts w:ascii="mylotus" w:hAnsi="mylotus"/>
          <w:sz w:val="34"/>
          <w:szCs w:val="34"/>
          <w:rtl/>
        </w:rPr>
        <w:t xml:space="preserve"> لبيان عدم</w:t>
      </w:r>
      <w:r w:rsidR="001D23EB">
        <w:rPr>
          <w:rFonts w:ascii="mylotus" w:hAnsi="mylotus"/>
          <w:sz w:val="34"/>
          <w:szCs w:val="34"/>
          <w:rtl/>
        </w:rPr>
        <w:t xml:space="preserve"> إيهام القول بالجواز لل</w:t>
      </w:r>
      <w:r w:rsidR="001D23EB">
        <w:rPr>
          <w:rFonts w:ascii="mylotus" w:hAnsi="mylotus" w:hint="cs"/>
          <w:sz w:val="34"/>
          <w:szCs w:val="34"/>
          <w:rtl/>
        </w:rPr>
        <w:t>ا</w:t>
      </w:r>
      <w:r w:rsidRPr="00161A6D">
        <w:rPr>
          <w:rFonts w:ascii="mylotus" w:hAnsi="mylotus"/>
          <w:sz w:val="34"/>
          <w:szCs w:val="34"/>
          <w:rtl/>
        </w:rPr>
        <w:t xml:space="preserve">عتراف بتضاد الحكمين، وكون البحث في المقام </w:t>
      </w:r>
      <w:proofErr w:type="spellStart"/>
      <w:r w:rsidRPr="00161A6D">
        <w:rPr>
          <w:rFonts w:ascii="mylotus" w:hAnsi="mylotus"/>
          <w:sz w:val="34"/>
          <w:szCs w:val="34"/>
          <w:rtl/>
        </w:rPr>
        <w:t>كبرويا</w:t>
      </w:r>
      <w:r w:rsidR="001D23EB">
        <w:rPr>
          <w:rFonts w:ascii="mylotus" w:hAnsi="mylotus" w:hint="cs"/>
          <w:sz w:val="34"/>
          <w:szCs w:val="34"/>
          <w:rtl/>
        </w:rPr>
        <w:t>ً</w:t>
      </w:r>
      <w:proofErr w:type="spellEnd"/>
      <w:r w:rsidRPr="00161A6D">
        <w:rPr>
          <w:rFonts w:ascii="mylotus" w:hAnsi="mylotus"/>
          <w:sz w:val="34"/>
          <w:szCs w:val="34"/>
          <w:rtl/>
        </w:rPr>
        <w:t>. فإنه قد أصاب في رد الدعوى الأولى</w:t>
      </w:r>
      <w:r w:rsidR="001D23EB">
        <w:rPr>
          <w:rFonts w:ascii="mylotus" w:hAnsi="mylotus"/>
          <w:sz w:val="34"/>
          <w:szCs w:val="34"/>
          <w:rtl/>
        </w:rPr>
        <w:t>،</w:t>
      </w:r>
      <w:r w:rsidRPr="00161A6D">
        <w:rPr>
          <w:rFonts w:ascii="mylotus" w:hAnsi="mylotus"/>
          <w:sz w:val="34"/>
          <w:szCs w:val="34"/>
          <w:rtl/>
        </w:rPr>
        <w:t xml:space="preserve"> ولكن ما</w:t>
      </w:r>
      <w:r w:rsidR="001D23EB">
        <w:rPr>
          <w:rFonts w:ascii="mylotus" w:hAnsi="mylotus" w:hint="cs"/>
          <w:sz w:val="34"/>
          <w:szCs w:val="34"/>
          <w:rtl/>
        </w:rPr>
        <w:t xml:space="preserve"> </w:t>
      </w:r>
      <w:r w:rsidRPr="00161A6D">
        <w:rPr>
          <w:rFonts w:ascii="mylotus" w:hAnsi="mylotus"/>
          <w:sz w:val="34"/>
          <w:szCs w:val="34"/>
          <w:rtl/>
        </w:rPr>
        <w:t>يرتبط بالدعوى الثانية ليس بتام، بل مرجع صياغته للبحث</w:t>
      </w:r>
      <w:r w:rsidR="001D23EB">
        <w:rPr>
          <w:rFonts w:ascii="mylotus" w:hAnsi="mylotus"/>
          <w:sz w:val="34"/>
          <w:szCs w:val="34"/>
          <w:rtl/>
        </w:rPr>
        <w:t xml:space="preserve"> </w:t>
      </w:r>
      <w:r w:rsidRPr="00161A6D">
        <w:rPr>
          <w:rFonts w:ascii="mylotus" w:hAnsi="mylotus"/>
          <w:sz w:val="34"/>
          <w:szCs w:val="34"/>
          <w:rtl/>
        </w:rPr>
        <w:t>إلى</w:t>
      </w:r>
      <w:r w:rsidR="001D23EB">
        <w:rPr>
          <w:rFonts w:ascii="mylotus" w:hAnsi="mylotus"/>
          <w:sz w:val="34"/>
          <w:szCs w:val="34"/>
          <w:rtl/>
        </w:rPr>
        <w:t xml:space="preserve"> </w:t>
      </w:r>
      <w:r w:rsidRPr="00161A6D">
        <w:rPr>
          <w:rFonts w:ascii="mylotus" w:hAnsi="mylotus"/>
          <w:sz w:val="34"/>
          <w:szCs w:val="34"/>
          <w:rtl/>
        </w:rPr>
        <w:t xml:space="preserve">أنه </w:t>
      </w:r>
      <w:proofErr w:type="spellStart"/>
      <w:r w:rsidRPr="00161A6D">
        <w:rPr>
          <w:rFonts w:ascii="mylotus" w:hAnsi="mylotus"/>
          <w:sz w:val="34"/>
          <w:szCs w:val="34"/>
          <w:rtl/>
        </w:rPr>
        <w:t>صغروي</w:t>
      </w:r>
      <w:proofErr w:type="spellEnd"/>
      <w:r w:rsidRPr="00161A6D">
        <w:rPr>
          <w:rFonts w:ascii="mylotus" w:hAnsi="mylotus"/>
          <w:sz w:val="34"/>
          <w:szCs w:val="34"/>
          <w:rtl/>
        </w:rPr>
        <w:t>، لأن مآل</w:t>
      </w:r>
      <w:r w:rsidR="001D23EB">
        <w:rPr>
          <w:rFonts w:ascii="mylotus" w:hAnsi="mylotus"/>
          <w:sz w:val="34"/>
          <w:szCs w:val="34"/>
          <w:rtl/>
        </w:rPr>
        <w:t xml:space="preserve"> </w:t>
      </w:r>
      <w:r w:rsidRPr="00161A6D">
        <w:rPr>
          <w:rFonts w:ascii="mylotus" w:hAnsi="mylotus"/>
          <w:sz w:val="34"/>
          <w:szCs w:val="34"/>
          <w:rtl/>
        </w:rPr>
        <w:t xml:space="preserve">كلامه إلى أن مجمع متعلقي الأمر والنهي خارجاً كالوضوء بالماء </w:t>
      </w:r>
      <w:r w:rsidR="001D23EB">
        <w:rPr>
          <w:rFonts w:ascii="mylotus" w:hAnsi="mylotus"/>
          <w:sz w:val="34"/>
          <w:szCs w:val="34"/>
          <w:rtl/>
        </w:rPr>
        <w:t xml:space="preserve">المغصوب هو واحد أم متعدد؟ مما </w:t>
      </w:r>
      <w:r w:rsidRPr="00161A6D">
        <w:rPr>
          <w:rFonts w:ascii="mylotus" w:hAnsi="mylotus"/>
          <w:sz w:val="34"/>
          <w:szCs w:val="34"/>
          <w:rtl/>
        </w:rPr>
        <w:t>يعني المفروغية عن كبرى وهي (عدم جواز اجتماع الأمر والنهي في واحد بالحقيقة)</w:t>
      </w:r>
      <w:r w:rsidR="001D23EB">
        <w:rPr>
          <w:rFonts w:ascii="mylotus" w:hAnsi="mylotus"/>
          <w:sz w:val="34"/>
          <w:szCs w:val="34"/>
          <w:rtl/>
        </w:rPr>
        <w:t>،</w:t>
      </w:r>
      <w:r w:rsidRPr="00161A6D">
        <w:rPr>
          <w:rFonts w:ascii="mylotus" w:hAnsi="mylotus"/>
          <w:sz w:val="34"/>
          <w:szCs w:val="34"/>
          <w:rtl/>
        </w:rPr>
        <w:t xml:space="preserve"> وإنما البحث في أن الوضوء بالم</w:t>
      </w:r>
      <w:r w:rsidR="001D23EB">
        <w:rPr>
          <w:rFonts w:ascii="mylotus" w:hAnsi="mylotus"/>
          <w:sz w:val="34"/>
          <w:szCs w:val="34"/>
          <w:rtl/>
        </w:rPr>
        <w:t>اء المغصوب واحد عقلاً أم متعدد؟</w:t>
      </w:r>
      <w:r w:rsidR="001D23EB">
        <w:rPr>
          <w:rFonts w:ascii="mylotus" w:hAnsi="mylotus" w:hint="cs"/>
          <w:sz w:val="34"/>
          <w:szCs w:val="34"/>
          <w:rtl/>
        </w:rPr>
        <w:t xml:space="preserve"> </w:t>
      </w:r>
      <w:r w:rsidRPr="00161A6D">
        <w:rPr>
          <w:rFonts w:ascii="mylotus" w:hAnsi="mylotus"/>
          <w:sz w:val="34"/>
          <w:szCs w:val="34"/>
          <w:rtl/>
        </w:rPr>
        <w:t xml:space="preserve">وهذا ما رامه المحقق النائيني </w:t>
      </w:r>
      <w:r w:rsidR="001D23EB">
        <w:rPr>
          <w:rFonts w:ascii="mylotus" w:hAnsi="mylotus" w:hint="cs"/>
          <w:sz w:val="34"/>
          <w:szCs w:val="34"/>
          <w:rtl/>
        </w:rPr>
        <w:t>(</w:t>
      </w:r>
      <w:r w:rsidRPr="00161A6D">
        <w:rPr>
          <w:rFonts w:ascii="mylotus" w:hAnsi="mylotus"/>
          <w:sz w:val="34"/>
          <w:szCs w:val="34"/>
          <w:rtl/>
        </w:rPr>
        <w:t>قدس سره</w:t>
      </w:r>
      <w:r w:rsidR="001D23EB">
        <w:rPr>
          <w:rFonts w:ascii="mylotus" w:hAnsi="mylotus" w:hint="cs"/>
          <w:sz w:val="34"/>
          <w:szCs w:val="34"/>
          <w:rtl/>
        </w:rPr>
        <w:t>)</w:t>
      </w:r>
      <w:r w:rsidRPr="00161A6D">
        <w:rPr>
          <w:rFonts w:ascii="mylotus" w:hAnsi="mylotus"/>
          <w:sz w:val="34"/>
          <w:szCs w:val="34"/>
          <w:rtl/>
        </w:rPr>
        <w:t xml:space="preserve">. لكن الذي يؤكد صحة عنوان المشهور وكون البحث </w:t>
      </w:r>
      <w:proofErr w:type="spellStart"/>
      <w:r w:rsidRPr="00161A6D">
        <w:rPr>
          <w:rFonts w:ascii="mylotus" w:hAnsi="mylotus"/>
          <w:sz w:val="34"/>
          <w:szCs w:val="34"/>
          <w:rtl/>
        </w:rPr>
        <w:t>كبروي</w:t>
      </w:r>
      <w:r w:rsidR="001D23EB">
        <w:rPr>
          <w:rFonts w:ascii="mylotus" w:hAnsi="mylotus"/>
          <w:sz w:val="34"/>
          <w:szCs w:val="34"/>
          <w:rtl/>
        </w:rPr>
        <w:t>ا</w:t>
      </w:r>
      <w:r w:rsidR="001D23EB">
        <w:rPr>
          <w:rFonts w:ascii="mylotus" w:hAnsi="mylotus" w:hint="cs"/>
          <w:sz w:val="34"/>
          <w:szCs w:val="34"/>
          <w:rtl/>
        </w:rPr>
        <w:t>ً</w:t>
      </w:r>
      <w:proofErr w:type="spellEnd"/>
      <w:r w:rsidR="001D23EB">
        <w:rPr>
          <w:rFonts w:ascii="mylotus" w:hAnsi="mylotus"/>
          <w:sz w:val="34"/>
          <w:szCs w:val="34"/>
          <w:rtl/>
        </w:rPr>
        <w:t xml:space="preserve"> (</w:t>
      </w:r>
      <w:r w:rsidRPr="00161A6D">
        <w:rPr>
          <w:rFonts w:ascii="mylotus" w:hAnsi="mylotus" w:hint="cs"/>
          <w:sz w:val="34"/>
          <w:szCs w:val="34"/>
          <w:rtl/>
        </w:rPr>
        <w:t>لا</w:t>
      </w:r>
      <w:r w:rsidR="001D23EB">
        <w:rPr>
          <w:rFonts w:ascii="mylotus" w:hAnsi="mylotus" w:hint="cs"/>
          <w:sz w:val="34"/>
          <w:szCs w:val="34"/>
          <w:rtl/>
        </w:rPr>
        <w:t xml:space="preserve"> </w:t>
      </w:r>
      <w:r w:rsidRPr="00161A6D">
        <w:rPr>
          <w:rFonts w:ascii="mylotus" w:hAnsi="mylotus" w:hint="cs"/>
          <w:sz w:val="34"/>
          <w:szCs w:val="34"/>
          <w:rtl/>
        </w:rPr>
        <w:t>في</w:t>
      </w:r>
      <w:r w:rsidRPr="00161A6D">
        <w:rPr>
          <w:rFonts w:ascii="mylotus" w:hAnsi="mylotus"/>
          <w:sz w:val="34"/>
          <w:szCs w:val="34"/>
          <w:rtl/>
        </w:rPr>
        <w:t xml:space="preserve"> </w:t>
      </w:r>
      <w:r w:rsidRPr="00161A6D">
        <w:rPr>
          <w:rFonts w:ascii="mylotus" w:hAnsi="mylotus" w:hint="cs"/>
          <w:sz w:val="34"/>
          <w:szCs w:val="34"/>
          <w:rtl/>
        </w:rPr>
        <w:t>أن</w:t>
      </w:r>
      <w:r w:rsidRPr="00161A6D">
        <w:rPr>
          <w:rFonts w:ascii="mylotus" w:hAnsi="mylotus"/>
          <w:sz w:val="34"/>
          <w:szCs w:val="34"/>
          <w:rtl/>
        </w:rPr>
        <w:t xml:space="preserve"> </w:t>
      </w:r>
      <w:r w:rsidRPr="00161A6D">
        <w:rPr>
          <w:rFonts w:ascii="mylotus" w:hAnsi="mylotus" w:hint="cs"/>
          <w:sz w:val="34"/>
          <w:szCs w:val="34"/>
          <w:rtl/>
        </w:rPr>
        <w:t>الخارج</w:t>
      </w:r>
      <w:r w:rsidRPr="00161A6D">
        <w:rPr>
          <w:rFonts w:ascii="mylotus" w:hAnsi="mylotus"/>
          <w:sz w:val="34"/>
          <w:szCs w:val="34"/>
          <w:rtl/>
        </w:rPr>
        <w:t xml:space="preserve"> </w:t>
      </w:r>
      <w:r w:rsidRPr="00161A6D">
        <w:rPr>
          <w:rFonts w:ascii="mylotus" w:hAnsi="mylotus" w:hint="cs"/>
          <w:sz w:val="34"/>
          <w:szCs w:val="34"/>
          <w:rtl/>
        </w:rPr>
        <w:t>واحد</w:t>
      </w:r>
      <w:r w:rsidRPr="00161A6D">
        <w:rPr>
          <w:rFonts w:ascii="mylotus" w:hAnsi="mylotus"/>
          <w:sz w:val="34"/>
          <w:szCs w:val="34"/>
          <w:rtl/>
        </w:rPr>
        <w:t xml:space="preserve"> </w:t>
      </w:r>
      <w:r w:rsidRPr="00161A6D">
        <w:rPr>
          <w:rFonts w:ascii="mylotus" w:hAnsi="mylotus" w:hint="cs"/>
          <w:sz w:val="34"/>
          <w:szCs w:val="34"/>
          <w:rtl/>
        </w:rPr>
        <w:t>أو</w:t>
      </w:r>
      <w:r w:rsidR="001D23EB">
        <w:rPr>
          <w:rFonts w:ascii="mylotus" w:hAnsi="mylotus" w:hint="cs"/>
          <w:sz w:val="34"/>
          <w:szCs w:val="34"/>
          <w:rtl/>
        </w:rPr>
        <w:t xml:space="preserve"> </w:t>
      </w:r>
      <w:r w:rsidRPr="00161A6D">
        <w:rPr>
          <w:rFonts w:ascii="mylotus" w:hAnsi="mylotus" w:hint="cs"/>
          <w:sz w:val="34"/>
          <w:szCs w:val="34"/>
          <w:rtl/>
        </w:rPr>
        <w:t>متعدد</w:t>
      </w:r>
      <w:r w:rsidRPr="00161A6D">
        <w:rPr>
          <w:rFonts w:ascii="mylotus" w:hAnsi="mylotus"/>
          <w:sz w:val="34"/>
          <w:szCs w:val="34"/>
          <w:rtl/>
        </w:rPr>
        <w:t>)</w:t>
      </w:r>
      <w:r w:rsidR="001D23EB">
        <w:rPr>
          <w:rFonts w:ascii="mylotus" w:hAnsi="mylotus"/>
          <w:sz w:val="34"/>
          <w:szCs w:val="34"/>
          <w:rtl/>
        </w:rPr>
        <w:t xml:space="preserve"> </w:t>
      </w:r>
      <w:r w:rsidRPr="00161A6D">
        <w:rPr>
          <w:rFonts w:ascii="mylotus" w:hAnsi="mylotus" w:hint="cs"/>
          <w:sz w:val="34"/>
          <w:szCs w:val="34"/>
          <w:rtl/>
        </w:rPr>
        <w:t>وعاما</w:t>
      </w:r>
      <w:r w:rsidR="001D23EB">
        <w:rPr>
          <w:rFonts w:ascii="mylotus" w:hAnsi="mylotus" w:hint="cs"/>
          <w:sz w:val="34"/>
          <w:szCs w:val="34"/>
          <w:rtl/>
        </w:rPr>
        <w:t>ً</w:t>
      </w:r>
      <w:r w:rsidRPr="00161A6D">
        <w:rPr>
          <w:rFonts w:ascii="mylotus" w:hAnsi="mylotus"/>
          <w:sz w:val="34"/>
          <w:szCs w:val="34"/>
          <w:rtl/>
        </w:rPr>
        <w:t xml:space="preserve"> </w:t>
      </w:r>
      <w:r w:rsidRPr="00161A6D">
        <w:rPr>
          <w:rFonts w:ascii="mylotus" w:hAnsi="mylotus" w:hint="cs"/>
          <w:sz w:val="34"/>
          <w:szCs w:val="34"/>
          <w:rtl/>
        </w:rPr>
        <w:t>لجميع</w:t>
      </w:r>
      <w:r w:rsidRPr="00161A6D">
        <w:rPr>
          <w:rFonts w:ascii="mylotus" w:hAnsi="mylotus"/>
          <w:sz w:val="34"/>
          <w:szCs w:val="34"/>
          <w:rtl/>
        </w:rPr>
        <w:t xml:space="preserve"> </w:t>
      </w:r>
      <w:r w:rsidRPr="00161A6D">
        <w:rPr>
          <w:rFonts w:ascii="mylotus" w:hAnsi="mylotus" w:hint="cs"/>
          <w:sz w:val="34"/>
          <w:szCs w:val="34"/>
          <w:rtl/>
        </w:rPr>
        <w:t>المباني</w:t>
      </w:r>
      <w:r w:rsidRPr="00161A6D">
        <w:rPr>
          <w:rFonts w:ascii="mylotus" w:hAnsi="mylotus"/>
          <w:sz w:val="34"/>
          <w:szCs w:val="34"/>
          <w:rtl/>
        </w:rPr>
        <w:t>:</w:t>
      </w:r>
      <w:r w:rsidR="001D23EB">
        <w:rPr>
          <w:rFonts w:ascii="mylotus" w:hAnsi="mylotus"/>
          <w:sz w:val="34"/>
          <w:szCs w:val="34"/>
          <w:rtl/>
        </w:rPr>
        <w:t xml:space="preserve"> </w:t>
      </w:r>
      <w:r w:rsidRPr="00161A6D">
        <w:rPr>
          <w:rFonts w:ascii="mylotus" w:hAnsi="mylotus" w:hint="cs"/>
          <w:sz w:val="34"/>
          <w:szCs w:val="34"/>
          <w:rtl/>
        </w:rPr>
        <w:t>أن</w:t>
      </w:r>
      <w:r w:rsidRPr="00161A6D">
        <w:rPr>
          <w:rFonts w:ascii="mylotus" w:hAnsi="mylotus"/>
          <w:sz w:val="34"/>
          <w:szCs w:val="34"/>
          <w:rtl/>
        </w:rPr>
        <w:t xml:space="preserve"> </w:t>
      </w:r>
      <w:r w:rsidRPr="00161A6D">
        <w:rPr>
          <w:rFonts w:ascii="mylotus" w:hAnsi="mylotus" w:hint="cs"/>
          <w:sz w:val="34"/>
          <w:szCs w:val="34"/>
          <w:rtl/>
        </w:rPr>
        <w:t>بعض</w:t>
      </w:r>
      <w:r w:rsidRPr="00161A6D">
        <w:rPr>
          <w:rFonts w:ascii="mylotus" w:hAnsi="mylotus"/>
          <w:sz w:val="34"/>
          <w:szCs w:val="34"/>
          <w:rtl/>
        </w:rPr>
        <w:t xml:space="preserve"> </w:t>
      </w:r>
      <w:r w:rsidRPr="00161A6D">
        <w:rPr>
          <w:rFonts w:ascii="mylotus" w:hAnsi="mylotus" w:hint="cs"/>
          <w:sz w:val="34"/>
          <w:szCs w:val="34"/>
          <w:rtl/>
        </w:rPr>
        <w:t>القائلين</w:t>
      </w:r>
      <w:r w:rsidRPr="00161A6D">
        <w:rPr>
          <w:rFonts w:ascii="mylotus" w:hAnsi="mylotus"/>
          <w:sz w:val="34"/>
          <w:szCs w:val="34"/>
          <w:rtl/>
        </w:rPr>
        <w:t xml:space="preserve"> </w:t>
      </w:r>
      <w:r w:rsidRPr="00161A6D">
        <w:rPr>
          <w:rFonts w:ascii="mylotus" w:hAnsi="mylotus" w:hint="cs"/>
          <w:sz w:val="34"/>
          <w:szCs w:val="34"/>
          <w:rtl/>
        </w:rPr>
        <w:t>بالجواز</w:t>
      </w:r>
      <w:r w:rsidRPr="00161A6D">
        <w:rPr>
          <w:rFonts w:ascii="mylotus" w:hAnsi="mylotus"/>
          <w:sz w:val="34"/>
          <w:szCs w:val="34"/>
          <w:rtl/>
        </w:rPr>
        <w:t xml:space="preserve"> </w:t>
      </w:r>
      <w:r w:rsidRPr="00161A6D">
        <w:rPr>
          <w:rFonts w:ascii="mylotus" w:hAnsi="mylotus" w:hint="cs"/>
          <w:sz w:val="34"/>
          <w:szCs w:val="34"/>
          <w:rtl/>
        </w:rPr>
        <w:t>يقول</w:t>
      </w:r>
      <w:r w:rsidRPr="00161A6D">
        <w:rPr>
          <w:rFonts w:ascii="mylotus" w:hAnsi="mylotus"/>
          <w:sz w:val="34"/>
          <w:szCs w:val="34"/>
          <w:rtl/>
        </w:rPr>
        <w:t xml:space="preserve"> </w:t>
      </w:r>
      <w:r w:rsidRPr="00161A6D">
        <w:rPr>
          <w:rFonts w:ascii="mylotus" w:hAnsi="mylotus" w:hint="cs"/>
          <w:sz w:val="34"/>
          <w:szCs w:val="34"/>
          <w:rtl/>
        </w:rPr>
        <w:t>بالجواز</w:t>
      </w:r>
      <w:r w:rsidRPr="00161A6D">
        <w:rPr>
          <w:rFonts w:ascii="mylotus" w:hAnsi="mylotus"/>
          <w:sz w:val="34"/>
          <w:szCs w:val="34"/>
          <w:rtl/>
        </w:rPr>
        <w:t xml:space="preserve"> </w:t>
      </w:r>
      <w:r w:rsidRPr="00161A6D">
        <w:rPr>
          <w:rFonts w:ascii="mylotus" w:hAnsi="mylotus" w:hint="cs"/>
          <w:sz w:val="34"/>
          <w:szCs w:val="34"/>
          <w:rtl/>
        </w:rPr>
        <w:t>حتى</w:t>
      </w:r>
      <w:r w:rsidRPr="00161A6D">
        <w:rPr>
          <w:rFonts w:ascii="mylotus" w:hAnsi="mylotus"/>
          <w:sz w:val="34"/>
          <w:szCs w:val="34"/>
          <w:rtl/>
        </w:rPr>
        <w:t xml:space="preserve"> </w:t>
      </w:r>
      <w:r w:rsidRPr="00161A6D">
        <w:rPr>
          <w:rFonts w:ascii="mylotus" w:hAnsi="mylotus" w:hint="cs"/>
          <w:sz w:val="34"/>
          <w:szCs w:val="34"/>
          <w:rtl/>
        </w:rPr>
        <w:t>مع</w:t>
      </w:r>
      <w:r w:rsidRPr="00161A6D">
        <w:rPr>
          <w:rFonts w:ascii="mylotus" w:hAnsi="mylotus"/>
          <w:sz w:val="34"/>
          <w:szCs w:val="34"/>
          <w:rtl/>
        </w:rPr>
        <w:t xml:space="preserve"> </w:t>
      </w:r>
      <w:r w:rsidRPr="00161A6D">
        <w:rPr>
          <w:rFonts w:ascii="mylotus" w:hAnsi="mylotus" w:hint="cs"/>
          <w:sz w:val="34"/>
          <w:szCs w:val="34"/>
          <w:rtl/>
        </w:rPr>
        <w:t>كون</w:t>
      </w:r>
      <w:r w:rsidRPr="00161A6D">
        <w:rPr>
          <w:rFonts w:ascii="mylotus" w:hAnsi="mylotus"/>
          <w:sz w:val="34"/>
          <w:szCs w:val="34"/>
          <w:rtl/>
        </w:rPr>
        <w:t xml:space="preserve"> </w:t>
      </w:r>
      <w:r w:rsidRPr="00161A6D">
        <w:rPr>
          <w:rFonts w:ascii="mylotus" w:hAnsi="mylotus" w:hint="cs"/>
          <w:sz w:val="34"/>
          <w:szCs w:val="34"/>
          <w:rtl/>
        </w:rPr>
        <w:t>المجمع</w:t>
      </w:r>
      <w:r w:rsidRPr="00161A6D">
        <w:rPr>
          <w:rFonts w:ascii="mylotus" w:hAnsi="mylotus"/>
          <w:sz w:val="34"/>
          <w:szCs w:val="34"/>
          <w:rtl/>
        </w:rPr>
        <w:t xml:space="preserve"> </w:t>
      </w:r>
      <w:r w:rsidRPr="00161A6D">
        <w:rPr>
          <w:rFonts w:ascii="mylotus" w:hAnsi="mylotus" w:hint="cs"/>
          <w:sz w:val="34"/>
          <w:szCs w:val="34"/>
          <w:rtl/>
        </w:rPr>
        <w:t>واحداً</w:t>
      </w:r>
      <w:r w:rsidRPr="00161A6D">
        <w:rPr>
          <w:rFonts w:ascii="mylotus" w:hAnsi="mylotus"/>
          <w:sz w:val="34"/>
          <w:szCs w:val="34"/>
          <w:rtl/>
        </w:rPr>
        <w:t xml:space="preserve"> </w:t>
      </w:r>
      <w:r w:rsidRPr="00161A6D">
        <w:rPr>
          <w:rFonts w:ascii="mylotus" w:hAnsi="mylotus" w:hint="cs"/>
          <w:sz w:val="34"/>
          <w:szCs w:val="34"/>
          <w:rtl/>
        </w:rPr>
        <w:t>بالحقيقة</w:t>
      </w:r>
      <w:r w:rsidRPr="00161A6D">
        <w:rPr>
          <w:rFonts w:ascii="mylotus" w:hAnsi="mylotus"/>
          <w:sz w:val="34"/>
          <w:szCs w:val="34"/>
          <w:rtl/>
        </w:rPr>
        <w:t xml:space="preserve"> </w:t>
      </w:r>
      <w:r w:rsidRPr="00161A6D">
        <w:rPr>
          <w:rFonts w:ascii="mylotus" w:hAnsi="mylotus" w:hint="cs"/>
          <w:sz w:val="34"/>
          <w:szCs w:val="34"/>
          <w:rtl/>
        </w:rPr>
        <w:t>وسراية</w:t>
      </w:r>
      <w:r w:rsidRPr="00161A6D">
        <w:rPr>
          <w:rFonts w:ascii="mylotus" w:hAnsi="mylotus"/>
          <w:sz w:val="34"/>
          <w:szCs w:val="34"/>
          <w:rtl/>
        </w:rPr>
        <w:t xml:space="preserve"> </w:t>
      </w:r>
      <w:r w:rsidRPr="00161A6D">
        <w:rPr>
          <w:rFonts w:ascii="mylotus" w:hAnsi="mylotus" w:hint="cs"/>
          <w:sz w:val="34"/>
          <w:szCs w:val="34"/>
          <w:rtl/>
        </w:rPr>
        <w:t>النهي</w:t>
      </w:r>
      <w:r w:rsidRPr="00161A6D">
        <w:rPr>
          <w:rFonts w:ascii="mylotus" w:hAnsi="mylotus"/>
          <w:sz w:val="34"/>
          <w:szCs w:val="34"/>
          <w:rtl/>
        </w:rPr>
        <w:t xml:space="preserve"> </w:t>
      </w:r>
      <w:r w:rsidRPr="00161A6D">
        <w:rPr>
          <w:rFonts w:ascii="mylotus" w:hAnsi="mylotus" w:hint="cs"/>
          <w:sz w:val="34"/>
          <w:szCs w:val="34"/>
          <w:rtl/>
        </w:rPr>
        <w:t>للمجمع</w:t>
      </w:r>
      <w:r w:rsidR="001D23EB">
        <w:rPr>
          <w:rFonts w:ascii="mylotus" w:hAnsi="mylotus"/>
          <w:sz w:val="34"/>
          <w:szCs w:val="34"/>
          <w:rtl/>
        </w:rPr>
        <w:t>.</w:t>
      </w:r>
    </w:p>
    <w:p w14:paraId="7C915B4F" w14:textId="77777777" w:rsidR="00161A6D" w:rsidRPr="00161A6D" w:rsidRDefault="00161A6D" w:rsidP="0068262E">
      <w:pPr>
        <w:pStyle w:val="a0"/>
        <w:widowControl w:val="0"/>
        <w:bidi/>
        <w:spacing w:line="216" w:lineRule="auto"/>
        <w:rPr>
          <w:rFonts w:ascii="mylotus" w:hAnsi="mylotus"/>
          <w:sz w:val="34"/>
          <w:szCs w:val="34"/>
          <w:rtl/>
        </w:rPr>
      </w:pPr>
    </w:p>
    <w:p w14:paraId="2D24CFF0" w14:textId="236A2FC5" w:rsidR="001F034F" w:rsidRPr="005F7776" w:rsidRDefault="00E706A4" w:rsidP="0068262E">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1A8593" w14:textId="77777777" w:rsidR="002C05DB" w:rsidRDefault="002C05DB" w:rsidP="00A5027D">
      <w:pPr>
        <w:spacing w:line="240" w:lineRule="auto"/>
      </w:pPr>
      <w:r>
        <w:separator/>
      </w:r>
    </w:p>
  </w:endnote>
  <w:endnote w:type="continuationSeparator" w:id="0">
    <w:p w14:paraId="0E4FCB0B" w14:textId="77777777" w:rsidR="002C05DB" w:rsidRDefault="002C05D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lotus">
    <w:panose1 w:val="02000000000000000000"/>
    <w:charset w:val="00"/>
    <w:family w:val="auto"/>
    <w:pitch w:val="variable"/>
    <w:sig w:usb0="00002007" w:usb1="80000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68262E" w:rsidRPr="0068262E">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289AE" w14:textId="77777777" w:rsidR="002C05DB" w:rsidRDefault="002C05DB" w:rsidP="00A5027D">
      <w:pPr>
        <w:spacing w:line="240" w:lineRule="auto"/>
      </w:pPr>
      <w:r>
        <w:separator/>
      </w:r>
    </w:p>
  </w:footnote>
  <w:footnote w:type="continuationSeparator" w:id="0">
    <w:p w14:paraId="6283BF43" w14:textId="77777777" w:rsidR="002C05DB" w:rsidRDefault="002C05DB"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814E8F3" w:rsidR="00B07F43" w:rsidRPr="005F7776" w:rsidRDefault="00B07F43" w:rsidP="00CC5917">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CC5917">
      <w:rPr>
        <w:rFonts w:ascii="mylotus" w:hAnsi="mylotus" w:cs="mylotus" w:hint="cs"/>
        <w:color w:val="FF0000"/>
        <w:sz w:val="26"/>
        <w:szCs w:val="26"/>
        <w:rtl/>
      </w:rPr>
      <w:t>18</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CC5917">
      <w:rPr>
        <w:rFonts w:ascii="mylotus" w:hAnsi="mylotus" w:cs="mylotus" w:hint="cs"/>
        <w:color w:val="FF0000"/>
        <w:sz w:val="26"/>
        <w:szCs w:val="26"/>
        <w:rtl/>
      </w:rPr>
      <w:t>أربعاء</w:t>
    </w:r>
    <w:r w:rsidRPr="005F7776">
      <w:rPr>
        <w:rFonts w:ascii="mylotus" w:hAnsi="mylotus" w:cs="mylotus"/>
        <w:color w:val="FF0000"/>
        <w:sz w:val="26"/>
        <w:szCs w:val="26"/>
        <w:rtl/>
      </w:rPr>
      <w:t xml:space="preserve"> </w:t>
    </w:r>
    <w:r w:rsidR="00CC5917">
      <w:rPr>
        <w:rFonts w:ascii="mylotus" w:hAnsi="mylotus" w:cs="mylotus" w:hint="cs"/>
        <w:color w:val="FF0000"/>
        <w:sz w:val="26"/>
        <w:szCs w:val="26"/>
        <w:rtl/>
      </w:rPr>
      <w:t>25</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1D23EB">
      <w:rPr>
        <w:rFonts w:ascii="mylotus" w:hAnsi="mylotus" w:cs="mylotus" w:hint="cs"/>
        <w:color w:val="FF0000"/>
        <w:sz w:val="26"/>
        <w:szCs w:val="26"/>
        <w:rtl/>
      </w:rPr>
      <w:t xml:space="preserve"> </w:t>
    </w:r>
    <w:r w:rsidR="006704C0">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C00BCD"/>
    <w:multiLevelType w:val="hybridMultilevel"/>
    <w:tmpl w:val="FB128DD8"/>
    <w:lvl w:ilvl="0" w:tplc="AC9C63F4">
      <w:numFmt w:val="bullet"/>
      <w:lvlText w:val=""/>
      <w:lvlJc w:val="left"/>
      <w:pPr>
        <w:ind w:left="757" w:hanging="360"/>
      </w:pPr>
      <w:rPr>
        <w:rFonts w:ascii="Symbol" w:eastAsia="Times New Roman" w:hAnsi="Symbol" w:cs="mylotu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40F55"/>
    <w:rsid w:val="00054F91"/>
    <w:rsid w:val="000634C0"/>
    <w:rsid w:val="00075B8F"/>
    <w:rsid w:val="00085C01"/>
    <w:rsid w:val="000868A0"/>
    <w:rsid w:val="000A66BF"/>
    <w:rsid w:val="000C2631"/>
    <w:rsid w:val="000F2D22"/>
    <w:rsid w:val="00102391"/>
    <w:rsid w:val="00104288"/>
    <w:rsid w:val="00111AE8"/>
    <w:rsid w:val="00116171"/>
    <w:rsid w:val="00126819"/>
    <w:rsid w:val="00161A6D"/>
    <w:rsid w:val="001700E2"/>
    <w:rsid w:val="0018506F"/>
    <w:rsid w:val="00190CDF"/>
    <w:rsid w:val="001B36AE"/>
    <w:rsid w:val="001B7AAB"/>
    <w:rsid w:val="001D23E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05DB"/>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04C0"/>
    <w:rsid w:val="0067710E"/>
    <w:rsid w:val="0068262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3703E"/>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C0F26"/>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5917"/>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E8BAE-CAC2-4ADA-A181-257A608DA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3016</TotalTime>
  <Pages>4</Pages>
  <Words>1087</Words>
  <Characters>6196</Characters>
  <Application>Microsoft Office Word</Application>
  <DocSecurity>0</DocSecurity>
  <Lines>51</Lines>
  <Paragraphs>14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6</cp:revision>
  <cp:lastPrinted>2024-01-07T16:37:00Z</cp:lastPrinted>
  <dcterms:created xsi:type="dcterms:W3CDTF">2026-10-07T09:40:00Z</dcterms:created>
  <dcterms:modified xsi:type="dcterms:W3CDTF">2026-10-09T11:54:00Z</dcterms:modified>
</cp:coreProperties>
</file>