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DBE3664" w14:textId="77777777" w:rsidR="00F914C0"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B0F8116" w14:textId="77777777" w:rsidR="00F914C0" w:rsidRDefault="00F914C0" w:rsidP="00D10B11">
      <w:pPr>
        <w:pStyle w:val="a0"/>
        <w:bidi/>
        <w:spacing w:line="216" w:lineRule="auto"/>
        <w:rPr>
          <w:rFonts w:ascii="mylotus" w:hAnsi="mylotus" w:hint="cs"/>
          <w:sz w:val="34"/>
          <w:szCs w:val="34"/>
          <w:rtl/>
        </w:rPr>
      </w:pPr>
    </w:p>
    <w:p w14:paraId="13C3F656" w14:textId="3BE06A47" w:rsidR="00D10B11" w:rsidRPr="00D10B11" w:rsidRDefault="00D10B11" w:rsidP="00D10B11">
      <w:pPr>
        <w:pStyle w:val="a0"/>
        <w:bidi/>
        <w:spacing w:line="216" w:lineRule="auto"/>
        <w:rPr>
          <w:rFonts w:ascii="mylotus" w:hAnsi="mylotus"/>
          <w:sz w:val="34"/>
          <w:szCs w:val="34"/>
          <w:rtl/>
        </w:rPr>
      </w:pPr>
      <w:r w:rsidRPr="00D10B11">
        <w:rPr>
          <w:rFonts w:ascii="mylotus" w:hAnsi="mylotus"/>
          <w:b/>
          <w:bCs/>
          <w:sz w:val="34"/>
          <w:szCs w:val="34"/>
          <w:rtl/>
        </w:rPr>
        <w:t>والحاصل</w:t>
      </w:r>
      <w:r>
        <w:rPr>
          <w:rFonts w:ascii="mylotus" w:hAnsi="mylotus"/>
          <w:b/>
          <w:bCs/>
          <w:sz w:val="34"/>
          <w:szCs w:val="34"/>
          <w:rtl/>
        </w:rPr>
        <w:t>:</w:t>
      </w:r>
      <w:r w:rsidRPr="00D10B11">
        <w:rPr>
          <w:rFonts w:ascii="mylotus" w:hAnsi="mylotus"/>
          <w:sz w:val="34"/>
          <w:szCs w:val="34"/>
          <w:rtl/>
        </w:rPr>
        <w:t xml:space="preserve"> أن العبارة المذكورة في أجود التقريرات هي </w:t>
      </w:r>
      <w:r>
        <w:rPr>
          <w:rFonts w:ascii="mylotus" w:hAnsi="mylotus"/>
          <w:sz w:val="34"/>
          <w:szCs w:val="34"/>
          <w:rtl/>
        </w:rPr>
        <w:t>(</w:t>
      </w:r>
      <w:r w:rsidRPr="00D10B11">
        <w:rPr>
          <w:rFonts w:ascii="mylotus" w:hAnsi="mylotus"/>
          <w:sz w:val="34"/>
          <w:szCs w:val="34"/>
          <w:rtl/>
        </w:rPr>
        <w:t>بتأثير واحد</w:t>
      </w:r>
      <w:r>
        <w:rPr>
          <w:rFonts w:ascii="mylotus" w:hAnsi="mylotus"/>
          <w:sz w:val="34"/>
          <w:szCs w:val="34"/>
          <w:rtl/>
        </w:rPr>
        <w:t>)</w:t>
      </w:r>
      <w:r w:rsidR="00AC7AFE">
        <w:rPr>
          <w:rFonts w:ascii="mylotus" w:hAnsi="mylotus" w:hint="cs"/>
          <w:sz w:val="34"/>
          <w:szCs w:val="34"/>
          <w:rtl/>
        </w:rPr>
        <w:t>،</w:t>
      </w:r>
      <w:bookmarkStart w:id="0" w:name="_GoBack"/>
      <w:bookmarkEnd w:id="0"/>
      <w:r w:rsidRPr="00D10B11">
        <w:rPr>
          <w:rFonts w:ascii="mylotus" w:hAnsi="mylotus"/>
          <w:sz w:val="34"/>
          <w:szCs w:val="34"/>
          <w:rtl/>
        </w:rPr>
        <w:t xml:space="preserve"> فلعل</w:t>
      </w:r>
      <w:r>
        <w:rPr>
          <w:rFonts w:ascii="mylotus" w:hAnsi="mylotus"/>
          <w:sz w:val="34"/>
          <w:szCs w:val="34"/>
          <w:rtl/>
        </w:rPr>
        <w:t xml:space="preserve"> </w:t>
      </w:r>
      <w:r w:rsidRPr="00D10B11">
        <w:rPr>
          <w:rFonts w:ascii="mylotus" w:hAnsi="mylotus"/>
          <w:sz w:val="34"/>
          <w:szCs w:val="34"/>
          <w:rtl/>
        </w:rPr>
        <w:t>مقصود المحقق النائيني قد</w:t>
      </w:r>
      <w:r w:rsidR="00223968">
        <w:rPr>
          <w:rFonts w:ascii="mylotus" w:hAnsi="mylotus" w:hint="cs"/>
          <w:sz w:val="34"/>
          <w:szCs w:val="34"/>
          <w:rtl/>
        </w:rPr>
        <w:t>س سر</w:t>
      </w:r>
      <w:r w:rsidRPr="00D10B11">
        <w:rPr>
          <w:rFonts w:ascii="mylotus" w:hAnsi="mylotus"/>
          <w:sz w:val="34"/>
          <w:szCs w:val="34"/>
          <w:rtl/>
        </w:rPr>
        <w:t>ه</w:t>
      </w:r>
      <w:r>
        <w:rPr>
          <w:rFonts w:ascii="mylotus" w:hAnsi="mylotus"/>
          <w:sz w:val="34"/>
          <w:szCs w:val="34"/>
          <w:rtl/>
        </w:rPr>
        <w:t xml:space="preserve"> </w:t>
      </w:r>
      <w:r w:rsidRPr="00D10B11">
        <w:rPr>
          <w:rFonts w:ascii="mylotus" w:hAnsi="mylotus"/>
          <w:sz w:val="34"/>
          <w:szCs w:val="34"/>
          <w:rtl/>
        </w:rPr>
        <w:t>أنه يمكن للإنسان</w:t>
      </w:r>
      <w:r>
        <w:rPr>
          <w:rFonts w:ascii="mylotus" w:hAnsi="mylotus"/>
          <w:sz w:val="34"/>
          <w:szCs w:val="34"/>
          <w:rtl/>
        </w:rPr>
        <w:t xml:space="preserve"> </w:t>
      </w:r>
      <w:r w:rsidRPr="00D10B11">
        <w:rPr>
          <w:rFonts w:ascii="mylotus" w:hAnsi="mylotus"/>
          <w:sz w:val="34"/>
          <w:szCs w:val="34"/>
          <w:rtl/>
        </w:rPr>
        <w:t>أن يحقق إيجادين لوجودين بإعمال قدرة واحدة</w:t>
      </w:r>
      <w:r w:rsidRPr="00D10B11">
        <w:rPr>
          <w:rFonts w:ascii="mylotus" w:hAnsi="mylotus"/>
          <w:sz w:val="34"/>
          <w:szCs w:val="34"/>
        </w:rPr>
        <w:t>.</w:t>
      </w:r>
    </w:p>
    <w:p w14:paraId="3FF009DE" w14:textId="3BBDEF1C" w:rsidR="00D10B11" w:rsidRDefault="00D10B11" w:rsidP="00D10B11">
      <w:pPr>
        <w:pStyle w:val="a0"/>
        <w:bidi/>
        <w:spacing w:line="216" w:lineRule="auto"/>
        <w:rPr>
          <w:rFonts w:ascii="mylotus" w:hAnsi="mylotus" w:hint="cs"/>
          <w:sz w:val="34"/>
          <w:szCs w:val="34"/>
          <w:rtl/>
        </w:rPr>
      </w:pPr>
      <w:r w:rsidRPr="00D10B11">
        <w:rPr>
          <w:rFonts w:ascii="mylotus" w:hAnsi="mylotus"/>
          <w:b/>
          <w:bCs/>
          <w:sz w:val="34"/>
          <w:szCs w:val="34"/>
          <w:rtl/>
        </w:rPr>
        <w:t>وما أفيد محل تأمل:</w:t>
      </w:r>
      <w:r w:rsidRPr="00D10B11">
        <w:rPr>
          <w:rFonts w:ascii="mylotus" w:hAnsi="mylotus"/>
          <w:sz w:val="34"/>
          <w:szCs w:val="34"/>
          <w:rtl/>
        </w:rPr>
        <w:t xml:space="preserve"> بلحاظ أن المقصود بإعمال القدرة</w:t>
      </w:r>
      <w:r>
        <w:rPr>
          <w:rFonts w:ascii="mylotus" w:hAnsi="mylotus"/>
          <w:sz w:val="34"/>
          <w:szCs w:val="34"/>
          <w:rtl/>
        </w:rPr>
        <w:t xml:space="preserve"> هل هو الإرادة -بحسب منظوره مد</w:t>
      </w:r>
      <w:r>
        <w:rPr>
          <w:rFonts w:ascii="mylotus" w:hAnsi="mylotus" w:hint="cs"/>
          <w:sz w:val="34"/>
          <w:szCs w:val="34"/>
          <w:rtl/>
        </w:rPr>
        <w:t xml:space="preserve"> </w:t>
      </w:r>
      <w:r>
        <w:rPr>
          <w:rFonts w:ascii="mylotus" w:hAnsi="mylotus"/>
          <w:sz w:val="34"/>
          <w:szCs w:val="34"/>
          <w:rtl/>
        </w:rPr>
        <w:t>ظله في تحديد معنى الإرادة</w:t>
      </w:r>
      <w:r w:rsidRPr="00D10B11">
        <w:rPr>
          <w:rFonts w:ascii="mylotus" w:hAnsi="mylotus"/>
          <w:sz w:val="34"/>
          <w:szCs w:val="34"/>
          <w:rtl/>
        </w:rPr>
        <w:t>- المعبر عنها ب</w:t>
      </w:r>
      <w:r>
        <w:rPr>
          <w:rFonts w:ascii="mylotus" w:hAnsi="mylotus" w:hint="cs"/>
          <w:sz w:val="34"/>
          <w:szCs w:val="34"/>
          <w:rtl/>
        </w:rPr>
        <w:t xml:space="preserve">ـ </w:t>
      </w:r>
      <w:r>
        <w:rPr>
          <w:rFonts w:ascii="mylotus" w:hAnsi="mylotus"/>
          <w:sz w:val="34"/>
          <w:szCs w:val="34"/>
          <w:rtl/>
        </w:rPr>
        <w:t>(إشارة الدماغ للأعصاب بالحركة</w:t>
      </w:r>
      <w:r w:rsidRPr="00D10B11">
        <w:rPr>
          <w:rFonts w:ascii="mylotus" w:hAnsi="mylotus"/>
          <w:sz w:val="34"/>
          <w:szCs w:val="34"/>
          <w:rtl/>
        </w:rPr>
        <w:t>)</w:t>
      </w:r>
      <w:r>
        <w:rPr>
          <w:rFonts w:ascii="mylotus" w:hAnsi="mylotus" w:hint="cs"/>
          <w:sz w:val="34"/>
          <w:szCs w:val="34"/>
          <w:rtl/>
        </w:rPr>
        <w:t>،</w:t>
      </w:r>
      <w:r>
        <w:rPr>
          <w:rFonts w:ascii="mylotus" w:hAnsi="mylotus"/>
          <w:sz w:val="34"/>
          <w:szCs w:val="34"/>
          <w:rtl/>
        </w:rPr>
        <w:t xml:space="preserve"> </w:t>
      </w:r>
      <w:r w:rsidRPr="00D10B11">
        <w:rPr>
          <w:rFonts w:ascii="mylotus" w:hAnsi="mylotus"/>
          <w:sz w:val="34"/>
          <w:szCs w:val="34"/>
          <w:rtl/>
        </w:rPr>
        <w:t>أم المقصود بها تفعيل الطاقة المبثوثة في البدن إلى فعل من الأفعال كالقيام والركوع</w:t>
      </w:r>
      <w:r>
        <w:rPr>
          <w:rFonts w:ascii="mylotus" w:hAnsi="mylotus"/>
          <w:sz w:val="34"/>
          <w:szCs w:val="34"/>
          <w:rtl/>
        </w:rPr>
        <w:t>؟</w:t>
      </w:r>
      <w:r w:rsidRPr="00D10B11">
        <w:rPr>
          <w:rFonts w:ascii="mylotus" w:hAnsi="mylotus"/>
          <w:sz w:val="34"/>
          <w:szCs w:val="34"/>
          <w:rtl/>
        </w:rPr>
        <w:t xml:space="preserve"> فإن كان المقصود بإعمال القدرة الإشارة إلى الإرادة السابقة على الفعل</w:t>
      </w:r>
      <w:r w:rsidR="00223968">
        <w:rPr>
          <w:rFonts w:ascii="mylotus" w:hAnsi="mylotus" w:hint="cs"/>
          <w:sz w:val="34"/>
          <w:szCs w:val="34"/>
          <w:rtl/>
        </w:rPr>
        <w:t xml:space="preserve">، </w:t>
      </w:r>
      <w:r w:rsidRPr="00D10B11">
        <w:rPr>
          <w:rFonts w:ascii="mylotus" w:hAnsi="mylotus"/>
          <w:sz w:val="34"/>
          <w:szCs w:val="34"/>
          <w:rtl/>
        </w:rPr>
        <w:t>أي أن الإنسان باستطاعته أن يحقق إيجادين بإعمال سلطنة واحدة، فهذا صحيح. إذ يمكن للإنسان أن يوجد القيام في الدار المغصوبة الذي هو مشتمل على نوعين من الإيجاد والوجود</w:t>
      </w:r>
      <w:r>
        <w:rPr>
          <w:rFonts w:ascii="mylotus" w:hAnsi="mylotus"/>
          <w:sz w:val="34"/>
          <w:szCs w:val="34"/>
          <w:rtl/>
        </w:rPr>
        <w:t>،</w:t>
      </w:r>
      <w:r w:rsidRPr="00D10B11">
        <w:rPr>
          <w:rFonts w:ascii="mylotus" w:hAnsi="mylotus"/>
          <w:sz w:val="34"/>
          <w:szCs w:val="34"/>
          <w:rtl/>
        </w:rPr>
        <w:t xml:space="preserve"> ولكن بإعمال سلطنة النفس على الجوارح</w:t>
      </w:r>
      <w:r>
        <w:rPr>
          <w:rFonts w:ascii="mylotus" w:hAnsi="mylotus"/>
          <w:sz w:val="34"/>
          <w:szCs w:val="34"/>
          <w:rtl/>
        </w:rPr>
        <w:t>، وذلك عبر (إشارة الدماغ للأعصاب بالحركة</w:t>
      </w:r>
      <w:r w:rsidRPr="00D10B11">
        <w:rPr>
          <w:rFonts w:ascii="mylotus" w:hAnsi="mylotus"/>
          <w:sz w:val="34"/>
          <w:szCs w:val="34"/>
          <w:rtl/>
        </w:rPr>
        <w:t>)</w:t>
      </w:r>
      <w:r>
        <w:rPr>
          <w:rFonts w:ascii="mylotus" w:hAnsi="mylotus" w:hint="cs"/>
          <w:sz w:val="34"/>
          <w:szCs w:val="34"/>
          <w:rtl/>
        </w:rPr>
        <w:t>.</w:t>
      </w:r>
    </w:p>
    <w:p w14:paraId="5FCE093F" w14:textId="6B88DD06" w:rsidR="00D10B11" w:rsidRPr="00D10B11" w:rsidRDefault="00D10B11" w:rsidP="00D10B11">
      <w:pPr>
        <w:pStyle w:val="a0"/>
        <w:bidi/>
        <w:spacing w:line="216" w:lineRule="auto"/>
        <w:rPr>
          <w:rFonts w:ascii="mylotus" w:hAnsi="mylotus"/>
          <w:sz w:val="34"/>
          <w:szCs w:val="34"/>
          <w:rtl/>
        </w:rPr>
      </w:pPr>
      <w:r w:rsidRPr="00D10B11">
        <w:rPr>
          <w:rFonts w:ascii="mylotus" w:hAnsi="mylotus"/>
          <w:sz w:val="34"/>
          <w:szCs w:val="34"/>
          <w:rtl/>
        </w:rPr>
        <w:t>لكن هذا ليس مح</w:t>
      </w:r>
      <w:r>
        <w:rPr>
          <w:rFonts w:ascii="mylotus" w:hAnsi="mylotus"/>
          <w:sz w:val="34"/>
          <w:szCs w:val="34"/>
          <w:rtl/>
        </w:rPr>
        <w:t xml:space="preserve">ل البحث، لأن محل البحث حول أنه </w:t>
      </w:r>
      <w:r w:rsidRPr="00D10B11">
        <w:rPr>
          <w:rFonts w:ascii="mylotus" w:hAnsi="mylotus"/>
          <w:sz w:val="34"/>
          <w:szCs w:val="34"/>
          <w:rtl/>
        </w:rPr>
        <w:t>هل يج</w:t>
      </w:r>
      <w:r>
        <w:rPr>
          <w:rFonts w:ascii="mylotus" w:hAnsi="mylotus"/>
          <w:sz w:val="34"/>
          <w:szCs w:val="34"/>
          <w:rtl/>
        </w:rPr>
        <w:t xml:space="preserve">وز اجتماع الأمر والنهي في واحد في تنقيح </w:t>
      </w:r>
      <w:r>
        <w:rPr>
          <w:rFonts w:ascii="mylotus" w:hAnsi="mylotus" w:hint="cs"/>
          <w:sz w:val="34"/>
          <w:szCs w:val="34"/>
          <w:rtl/>
        </w:rPr>
        <w:t>(</w:t>
      </w:r>
      <w:r w:rsidRPr="00D10B11">
        <w:rPr>
          <w:rFonts w:ascii="mylotus" w:hAnsi="mylotus"/>
          <w:sz w:val="34"/>
          <w:szCs w:val="34"/>
          <w:rtl/>
        </w:rPr>
        <w:t>ما</w:t>
      </w:r>
      <w:r>
        <w:rPr>
          <w:rFonts w:ascii="mylotus" w:hAnsi="mylotus" w:hint="cs"/>
          <w:sz w:val="34"/>
          <w:szCs w:val="34"/>
          <w:rtl/>
        </w:rPr>
        <w:t xml:space="preserve"> </w:t>
      </w:r>
      <w:r>
        <w:rPr>
          <w:rFonts w:ascii="mylotus" w:hAnsi="mylotus"/>
          <w:sz w:val="34"/>
          <w:szCs w:val="34"/>
          <w:rtl/>
        </w:rPr>
        <w:t>هو المراد من الواحد</w:t>
      </w:r>
      <w:r>
        <w:rPr>
          <w:rFonts w:ascii="mylotus" w:hAnsi="mylotus" w:hint="cs"/>
          <w:sz w:val="34"/>
          <w:szCs w:val="34"/>
          <w:rtl/>
        </w:rPr>
        <w:t>)</w:t>
      </w:r>
      <w:r w:rsidRPr="00D10B11">
        <w:rPr>
          <w:rFonts w:ascii="mylotus" w:hAnsi="mylotus"/>
          <w:sz w:val="34"/>
          <w:szCs w:val="34"/>
          <w:rtl/>
        </w:rPr>
        <w:t>، الذي هو مجمع متعلق الأمر والنهي</w:t>
      </w:r>
      <w:r>
        <w:rPr>
          <w:rFonts w:ascii="mylotus" w:hAnsi="mylotus"/>
          <w:sz w:val="34"/>
          <w:szCs w:val="34"/>
          <w:rtl/>
        </w:rPr>
        <w:t>،</w:t>
      </w:r>
      <w:r w:rsidR="00223968">
        <w:rPr>
          <w:rFonts w:ascii="mylotus" w:hAnsi="mylotus"/>
          <w:sz w:val="34"/>
          <w:szCs w:val="34"/>
          <w:rtl/>
        </w:rPr>
        <w:t xml:space="preserve"> و</w:t>
      </w:r>
      <w:r w:rsidRPr="00D10B11">
        <w:rPr>
          <w:rFonts w:ascii="mylotus" w:hAnsi="mylotus"/>
          <w:sz w:val="34"/>
          <w:szCs w:val="34"/>
          <w:rtl/>
        </w:rPr>
        <w:t>من الواضح أن ما</w:t>
      </w:r>
      <w:r>
        <w:rPr>
          <w:rFonts w:ascii="mylotus" w:hAnsi="mylotus" w:hint="cs"/>
          <w:sz w:val="34"/>
          <w:szCs w:val="34"/>
          <w:rtl/>
        </w:rPr>
        <w:t xml:space="preserve"> </w:t>
      </w:r>
      <w:r w:rsidRPr="00D10B11">
        <w:rPr>
          <w:rFonts w:ascii="mylotus" w:hAnsi="mylotus"/>
          <w:sz w:val="34"/>
          <w:szCs w:val="34"/>
          <w:rtl/>
        </w:rPr>
        <w:t>هو مجمع المتعلقين هو فعل من أفعال الإنسان</w:t>
      </w:r>
      <w:r>
        <w:rPr>
          <w:rFonts w:ascii="mylotus" w:hAnsi="mylotus"/>
          <w:sz w:val="34"/>
          <w:szCs w:val="34"/>
          <w:rtl/>
        </w:rPr>
        <w:t xml:space="preserve"> </w:t>
      </w:r>
      <w:r w:rsidRPr="00D10B11">
        <w:rPr>
          <w:rFonts w:ascii="mylotus" w:hAnsi="mylotus"/>
          <w:sz w:val="34"/>
          <w:szCs w:val="34"/>
          <w:rtl/>
        </w:rPr>
        <w:t>وليس من مبادئ وجود الفعل</w:t>
      </w:r>
      <w:r>
        <w:rPr>
          <w:rFonts w:ascii="mylotus" w:hAnsi="mylotus"/>
          <w:sz w:val="34"/>
          <w:szCs w:val="34"/>
          <w:rtl/>
        </w:rPr>
        <w:t>،</w:t>
      </w:r>
      <w:r w:rsidRPr="00D10B11">
        <w:rPr>
          <w:rFonts w:ascii="mylotus" w:hAnsi="mylotus"/>
          <w:sz w:val="34"/>
          <w:szCs w:val="34"/>
          <w:rtl/>
        </w:rPr>
        <w:t xml:space="preserve"> وسلطنة النفس على الجوارح من مبادئ الوجود، فكونها واحدة أو متعدّدة لا دخل له في تنقيح ما هو محل البحث</w:t>
      </w:r>
      <w:r w:rsidRPr="00D10B11">
        <w:rPr>
          <w:rFonts w:ascii="mylotus" w:hAnsi="mylotus"/>
          <w:sz w:val="34"/>
          <w:szCs w:val="34"/>
        </w:rPr>
        <w:t>.</w:t>
      </w:r>
    </w:p>
    <w:p w14:paraId="7E45A514" w14:textId="77777777" w:rsidR="00D10B11" w:rsidRPr="00D10B11" w:rsidRDefault="00D10B11" w:rsidP="00D10B11">
      <w:pPr>
        <w:pStyle w:val="a0"/>
        <w:bidi/>
        <w:spacing w:line="216" w:lineRule="auto"/>
        <w:rPr>
          <w:rFonts w:ascii="mylotus" w:hAnsi="mylotus"/>
          <w:sz w:val="34"/>
          <w:szCs w:val="34"/>
          <w:rtl/>
        </w:rPr>
      </w:pPr>
      <w:r w:rsidRPr="00D10B11">
        <w:rPr>
          <w:rFonts w:ascii="mylotus" w:hAnsi="mylotus"/>
          <w:sz w:val="34"/>
          <w:szCs w:val="34"/>
          <w:rtl/>
        </w:rPr>
        <w:t>وإن كان المقصود بإعمال القدرة يعني تحويل الطاقة المبثوثة في البدن إلى نوعين من الوجود فهذا ليس تاماً؛ لأن كل وجود فهو مقدار من الطاقة، فكما أن تعدد الوجود يقتضي تعدد الإيجاد، فتعدد الوجود يقتضي تعدد القدرة بمعنى الطاقة المبثوثة في البدن. فلا يمكن للإنسان أن يصنع إيجادين لوجودين إلا بإعمال قدرتين</w:t>
      </w:r>
      <w:r w:rsidRPr="00D10B11">
        <w:rPr>
          <w:rFonts w:ascii="mylotus" w:hAnsi="mylotus"/>
          <w:sz w:val="34"/>
          <w:szCs w:val="34"/>
        </w:rPr>
        <w:t>.</w:t>
      </w:r>
    </w:p>
    <w:p w14:paraId="77B89AD3" w14:textId="1218BA89" w:rsidR="00D10B11" w:rsidRPr="00D10B11" w:rsidRDefault="00D10B11" w:rsidP="00D10B11">
      <w:pPr>
        <w:pStyle w:val="a0"/>
        <w:bidi/>
        <w:spacing w:line="216" w:lineRule="auto"/>
        <w:rPr>
          <w:rFonts w:ascii="mylotus" w:hAnsi="mylotus"/>
          <w:sz w:val="34"/>
          <w:szCs w:val="34"/>
          <w:rtl/>
        </w:rPr>
      </w:pPr>
      <w:r w:rsidRPr="00D10B11">
        <w:rPr>
          <w:rFonts w:ascii="mylotus" w:hAnsi="mylotus"/>
          <w:b/>
          <w:bCs/>
          <w:sz w:val="34"/>
          <w:szCs w:val="34"/>
          <w:rtl/>
        </w:rPr>
        <w:t>فتلخص من ذلك:</w:t>
      </w:r>
      <w:r w:rsidRPr="00D10B11">
        <w:rPr>
          <w:rFonts w:ascii="mylotus" w:hAnsi="mylotus"/>
          <w:sz w:val="34"/>
          <w:szCs w:val="34"/>
          <w:rtl/>
        </w:rPr>
        <w:t xml:space="preserve"> أن ما أفاده المحقق النائيني قدس سره من أن المراد بالواحد في المقام هو الواحد</w:t>
      </w:r>
      <w:r>
        <w:rPr>
          <w:rFonts w:ascii="mylotus" w:hAnsi="mylotus" w:hint="cs"/>
          <w:sz w:val="34"/>
          <w:szCs w:val="34"/>
          <w:rtl/>
        </w:rPr>
        <w:t xml:space="preserve"> </w:t>
      </w:r>
      <w:r w:rsidRPr="00D10B11">
        <w:rPr>
          <w:rFonts w:ascii="mylotus" w:hAnsi="mylotus"/>
          <w:sz w:val="34"/>
          <w:szCs w:val="34"/>
          <w:rtl/>
        </w:rPr>
        <w:t>في الإيجاد (الجامع بين إيجاد لوج</w:t>
      </w:r>
      <w:r>
        <w:rPr>
          <w:rFonts w:ascii="mylotus" w:hAnsi="mylotus"/>
          <w:sz w:val="34"/>
          <w:szCs w:val="34"/>
          <w:rtl/>
        </w:rPr>
        <w:t>ود واحد كما في موارد التركيب ال</w:t>
      </w:r>
      <w:r>
        <w:rPr>
          <w:rFonts w:ascii="mylotus" w:hAnsi="mylotus" w:hint="cs"/>
          <w:sz w:val="34"/>
          <w:szCs w:val="34"/>
          <w:rtl/>
        </w:rPr>
        <w:t>ا</w:t>
      </w:r>
      <w:r w:rsidRPr="00D10B11">
        <w:rPr>
          <w:rFonts w:ascii="mylotus" w:hAnsi="mylotus"/>
          <w:sz w:val="34"/>
          <w:szCs w:val="34"/>
          <w:rtl/>
        </w:rPr>
        <w:t>تحادي</w:t>
      </w:r>
      <w:r>
        <w:rPr>
          <w:rFonts w:ascii="mylotus" w:hAnsi="mylotus"/>
          <w:sz w:val="34"/>
          <w:szCs w:val="34"/>
          <w:rtl/>
        </w:rPr>
        <w:t>،</w:t>
      </w:r>
      <w:r w:rsidRPr="00D10B11">
        <w:rPr>
          <w:rFonts w:ascii="mylotus" w:hAnsi="mylotus"/>
          <w:sz w:val="34"/>
          <w:szCs w:val="34"/>
          <w:rtl/>
        </w:rPr>
        <w:t xml:space="preserve"> و</w:t>
      </w:r>
      <w:r>
        <w:rPr>
          <w:rFonts w:ascii="mylotus" w:hAnsi="mylotus"/>
          <w:sz w:val="34"/>
          <w:szCs w:val="34"/>
          <w:rtl/>
        </w:rPr>
        <w:t xml:space="preserve">إيجاد لوجودين كما في التركيب </w:t>
      </w:r>
      <w:proofErr w:type="spellStart"/>
      <w:r>
        <w:rPr>
          <w:rFonts w:ascii="mylotus" w:hAnsi="mylotus"/>
          <w:sz w:val="34"/>
          <w:szCs w:val="34"/>
          <w:rtl/>
        </w:rPr>
        <w:t>ال</w:t>
      </w:r>
      <w:r>
        <w:rPr>
          <w:rFonts w:ascii="mylotus" w:hAnsi="mylotus" w:hint="cs"/>
          <w:sz w:val="34"/>
          <w:szCs w:val="34"/>
          <w:rtl/>
        </w:rPr>
        <w:t>ا</w:t>
      </w:r>
      <w:r>
        <w:rPr>
          <w:rFonts w:ascii="mylotus" w:hAnsi="mylotus"/>
          <w:sz w:val="34"/>
          <w:szCs w:val="34"/>
          <w:rtl/>
        </w:rPr>
        <w:t>نضمامي</w:t>
      </w:r>
      <w:proofErr w:type="spellEnd"/>
      <w:r w:rsidRPr="00D10B11">
        <w:rPr>
          <w:rFonts w:ascii="mylotus" w:hAnsi="mylotus"/>
          <w:sz w:val="34"/>
          <w:szCs w:val="34"/>
          <w:rtl/>
        </w:rPr>
        <w:t>)</w:t>
      </w:r>
      <w:r>
        <w:rPr>
          <w:rFonts w:ascii="mylotus" w:hAnsi="mylotus" w:hint="cs"/>
          <w:sz w:val="34"/>
          <w:szCs w:val="34"/>
          <w:rtl/>
        </w:rPr>
        <w:t xml:space="preserve"> </w:t>
      </w:r>
      <w:r w:rsidRPr="00D10B11">
        <w:rPr>
          <w:rFonts w:ascii="mylotus" w:hAnsi="mylotus"/>
          <w:sz w:val="34"/>
          <w:szCs w:val="34"/>
          <w:rtl/>
        </w:rPr>
        <w:t>ليس تاماً</w:t>
      </w:r>
      <w:r w:rsidRPr="00D10B11">
        <w:rPr>
          <w:rFonts w:ascii="mylotus" w:hAnsi="mylotus"/>
          <w:sz w:val="34"/>
          <w:szCs w:val="34"/>
        </w:rPr>
        <w:t>.</w:t>
      </w:r>
      <w:r>
        <w:rPr>
          <w:rFonts w:ascii="mylotus" w:hAnsi="mylotus" w:hint="cs"/>
          <w:sz w:val="34"/>
          <w:szCs w:val="34"/>
          <w:rtl/>
        </w:rPr>
        <w:t xml:space="preserve"> </w:t>
      </w:r>
      <w:r w:rsidRPr="00D10B11">
        <w:rPr>
          <w:rFonts w:ascii="mylotus" w:hAnsi="mylotus"/>
          <w:sz w:val="34"/>
          <w:szCs w:val="34"/>
          <w:rtl/>
        </w:rPr>
        <w:t xml:space="preserve">وأن المبنى الصحيح هو مبنى صاحب الكفاية قدس سره، وهو أن </w:t>
      </w:r>
      <w:r>
        <w:rPr>
          <w:rFonts w:ascii="mylotus" w:hAnsi="mylotus"/>
          <w:sz w:val="34"/>
          <w:szCs w:val="34"/>
          <w:rtl/>
        </w:rPr>
        <w:t>المراد بالواحد في المقام</w:t>
      </w:r>
      <w:r>
        <w:rPr>
          <w:rFonts w:ascii="mylotus" w:hAnsi="mylotus" w:hint="cs"/>
          <w:sz w:val="34"/>
          <w:szCs w:val="34"/>
          <w:rtl/>
        </w:rPr>
        <w:t xml:space="preserve"> </w:t>
      </w:r>
      <w:r w:rsidRPr="00D10B11">
        <w:rPr>
          <w:rFonts w:ascii="mylotus" w:hAnsi="mylotus"/>
          <w:sz w:val="34"/>
          <w:szCs w:val="34"/>
          <w:rtl/>
        </w:rPr>
        <w:t>مطلق ما كان ذا وجهين، ومندرجاً تحت عنوانين، بأحدهما يكون متعلقاً للأمر، وبالآخر يكون متعلقاً للنهي، وإن كان كلياً مقولاً على كثيرين، كالصلاة في المغصوب</w:t>
      </w:r>
      <w:r w:rsidRPr="00D10B11">
        <w:rPr>
          <w:rFonts w:ascii="mylotus" w:hAnsi="mylotus"/>
          <w:sz w:val="34"/>
          <w:szCs w:val="34"/>
        </w:rPr>
        <w:t>.</w:t>
      </w:r>
    </w:p>
    <w:p w14:paraId="001883E5" w14:textId="290EAAEC" w:rsidR="00D10B11" w:rsidRPr="00D10B11" w:rsidRDefault="00D10B11" w:rsidP="00D10B11">
      <w:pPr>
        <w:pStyle w:val="a0"/>
        <w:bidi/>
        <w:spacing w:line="216" w:lineRule="auto"/>
        <w:rPr>
          <w:rFonts w:ascii="mylotus" w:hAnsi="mylotus"/>
          <w:sz w:val="34"/>
          <w:szCs w:val="34"/>
          <w:rtl/>
        </w:rPr>
      </w:pPr>
      <w:r w:rsidRPr="00D10B11">
        <w:rPr>
          <w:rFonts w:ascii="mylotus" w:hAnsi="mylotus"/>
          <w:sz w:val="34"/>
          <w:szCs w:val="34"/>
          <w:rtl/>
        </w:rPr>
        <w:lastRenderedPageBreak/>
        <w:t xml:space="preserve">لكن السيد </w:t>
      </w:r>
      <w:proofErr w:type="spellStart"/>
      <w:r w:rsidRPr="00D10B11">
        <w:rPr>
          <w:rFonts w:ascii="mylotus" w:hAnsi="mylotus"/>
          <w:sz w:val="34"/>
          <w:szCs w:val="34"/>
          <w:rtl/>
        </w:rPr>
        <w:t>البروجردي</w:t>
      </w:r>
      <w:proofErr w:type="spellEnd"/>
      <w:r w:rsidRPr="00D10B11">
        <w:rPr>
          <w:rFonts w:ascii="mylotus" w:hAnsi="mylotus"/>
          <w:sz w:val="34"/>
          <w:szCs w:val="34"/>
          <w:rtl/>
        </w:rPr>
        <w:t xml:space="preserve"> قدس سره [نهاية الأصول ص253] أشكل على مفاد هذه العبارة من الكفاية وهي: أن الواحد هو الكلي المقول على كثيرين كالصلاة في المغصوب</w:t>
      </w:r>
      <w:r>
        <w:rPr>
          <w:rFonts w:ascii="mylotus" w:hAnsi="mylotus"/>
          <w:sz w:val="34"/>
          <w:szCs w:val="34"/>
          <w:rtl/>
        </w:rPr>
        <w:t>:</w:t>
      </w:r>
      <w:r w:rsidRPr="00D10B11">
        <w:rPr>
          <w:rFonts w:ascii="mylotus" w:hAnsi="mylotus"/>
          <w:sz w:val="34"/>
          <w:szCs w:val="34"/>
          <w:rtl/>
        </w:rPr>
        <w:t xml:space="preserve"> بأنه بعد فرض كون متعلق الأمر والنهي من الكليات</w:t>
      </w:r>
      <w:r>
        <w:rPr>
          <w:rFonts w:ascii="mylotus" w:hAnsi="mylotus"/>
          <w:sz w:val="34"/>
          <w:szCs w:val="34"/>
          <w:rtl/>
        </w:rPr>
        <w:t xml:space="preserve"> </w:t>
      </w:r>
      <w:r w:rsidRPr="00D10B11">
        <w:rPr>
          <w:rFonts w:ascii="mylotus" w:hAnsi="mylotus"/>
          <w:sz w:val="34"/>
          <w:szCs w:val="34"/>
          <w:rtl/>
        </w:rPr>
        <w:t>فإن ضم كلي إلى كلي لا يحقق الوحدة، فضم كلي الصلاة لكلي الغصب لا يحقق وحدة؛ لأن الكليات مفاهيم، والمفاهيم متباينة بالعزل، أي أن كل مفهوم مغاير للمفهوم الآخر في حد ذاته</w:t>
      </w:r>
      <w:r>
        <w:rPr>
          <w:rFonts w:ascii="mylotus" w:hAnsi="mylotus"/>
          <w:sz w:val="34"/>
          <w:szCs w:val="34"/>
          <w:rtl/>
        </w:rPr>
        <w:t>،</w:t>
      </w:r>
      <w:r w:rsidRPr="00D10B11">
        <w:rPr>
          <w:rFonts w:ascii="mylotus" w:hAnsi="mylotus"/>
          <w:sz w:val="34"/>
          <w:szCs w:val="34"/>
          <w:rtl/>
        </w:rPr>
        <w:t xml:space="preserve"> ومع التباين فضم كل منهما للآخر لا يحقق وحدة،</w:t>
      </w:r>
      <w:r>
        <w:rPr>
          <w:rFonts w:ascii="mylotus" w:hAnsi="mylotus"/>
          <w:sz w:val="34"/>
          <w:szCs w:val="34"/>
          <w:rtl/>
        </w:rPr>
        <w:t xml:space="preserve"> </w:t>
      </w:r>
      <w:r w:rsidRPr="00D10B11">
        <w:rPr>
          <w:rFonts w:ascii="mylotus" w:hAnsi="mylotus"/>
          <w:sz w:val="34"/>
          <w:szCs w:val="34"/>
          <w:rtl/>
        </w:rPr>
        <w:t>وإنما الجامع للشتات المحقق للوحدة هو الوجود؛ لأن الوجود مساوق للتشخص وللوحدة،</w:t>
      </w:r>
      <w:r>
        <w:rPr>
          <w:rFonts w:ascii="mylotus" w:hAnsi="mylotus" w:hint="cs"/>
          <w:sz w:val="34"/>
          <w:szCs w:val="34"/>
          <w:rtl/>
        </w:rPr>
        <w:t xml:space="preserve"> </w:t>
      </w:r>
      <w:r w:rsidRPr="00D10B11">
        <w:rPr>
          <w:rFonts w:ascii="mylotus" w:hAnsi="mylotus"/>
          <w:sz w:val="34"/>
          <w:szCs w:val="34"/>
          <w:rtl/>
        </w:rPr>
        <w:t>فكيف يقال</w:t>
      </w:r>
      <w:r>
        <w:rPr>
          <w:rFonts w:ascii="mylotus" w:hAnsi="mylotus"/>
          <w:sz w:val="34"/>
          <w:szCs w:val="34"/>
          <w:rtl/>
        </w:rPr>
        <w:t xml:space="preserve"> بأن المراد بالواحد في المقام (</w:t>
      </w:r>
      <w:r w:rsidRPr="00D10B11">
        <w:rPr>
          <w:rFonts w:ascii="mylotus" w:hAnsi="mylotus"/>
          <w:sz w:val="34"/>
          <w:szCs w:val="34"/>
          <w:rtl/>
        </w:rPr>
        <w:t>ما</w:t>
      </w:r>
      <w:r>
        <w:rPr>
          <w:rFonts w:ascii="mylotus" w:hAnsi="mylotus" w:hint="cs"/>
          <w:sz w:val="34"/>
          <w:szCs w:val="34"/>
          <w:rtl/>
        </w:rPr>
        <w:t xml:space="preserve"> </w:t>
      </w:r>
      <w:r w:rsidRPr="00D10B11">
        <w:rPr>
          <w:rFonts w:ascii="mylotus" w:hAnsi="mylotus"/>
          <w:sz w:val="34"/>
          <w:szCs w:val="34"/>
          <w:rtl/>
        </w:rPr>
        <w:t>يكون مندرجا</w:t>
      </w:r>
      <w:r>
        <w:rPr>
          <w:rFonts w:ascii="mylotus" w:hAnsi="mylotus" w:hint="cs"/>
          <w:sz w:val="34"/>
          <w:szCs w:val="34"/>
          <w:rtl/>
        </w:rPr>
        <w:t>ً</w:t>
      </w:r>
      <w:r w:rsidRPr="00D10B11">
        <w:rPr>
          <w:rFonts w:ascii="mylotus" w:hAnsi="mylotus"/>
          <w:sz w:val="34"/>
          <w:szCs w:val="34"/>
          <w:rtl/>
        </w:rPr>
        <w:t xml:space="preserve"> تحت عنوانين ولو كان كلياً مقولاً على كثيرين</w:t>
      </w:r>
      <w:r>
        <w:rPr>
          <w:rFonts w:ascii="mylotus" w:hAnsi="mylotus" w:hint="cs"/>
          <w:sz w:val="34"/>
          <w:szCs w:val="34"/>
          <w:rtl/>
        </w:rPr>
        <w:t>).</w:t>
      </w:r>
    </w:p>
    <w:p w14:paraId="4788A9C1" w14:textId="0ADDCF87" w:rsidR="00D10B11" w:rsidRPr="00D10B11" w:rsidRDefault="00D10B11" w:rsidP="00D10B11">
      <w:pPr>
        <w:pStyle w:val="a0"/>
        <w:bidi/>
        <w:spacing w:line="216" w:lineRule="auto"/>
        <w:rPr>
          <w:rFonts w:ascii="mylotus" w:hAnsi="mylotus"/>
          <w:sz w:val="34"/>
          <w:szCs w:val="34"/>
          <w:rtl/>
        </w:rPr>
      </w:pPr>
      <w:r w:rsidRPr="00D10B11">
        <w:rPr>
          <w:rFonts w:ascii="mylotus" w:hAnsi="mylotus"/>
          <w:sz w:val="34"/>
          <w:szCs w:val="34"/>
          <w:rtl/>
        </w:rPr>
        <w:t xml:space="preserve">لكن ما أفاده </w:t>
      </w:r>
      <w:r>
        <w:rPr>
          <w:rFonts w:ascii="mylotus" w:hAnsi="mylotus" w:hint="cs"/>
          <w:sz w:val="34"/>
          <w:szCs w:val="34"/>
          <w:rtl/>
        </w:rPr>
        <w:t>قدس سره</w:t>
      </w:r>
      <w:r w:rsidRPr="00D10B11">
        <w:rPr>
          <w:rFonts w:ascii="mylotus" w:hAnsi="mylotus"/>
          <w:sz w:val="34"/>
          <w:szCs w:val="34"/>
          <w:rtl/>
        </w:rPr>
        <w:t xml:space="preserve"> لا</w:t>
      </w:r>
      <w:r>
        <w:rPr>
          <w:rFonts w:ascii="mylotus" w:hAnsi="mylotus" w:hint="cs"/>
          <w:sz w:val="34"/>
          <w:szCs w:val="34"/>
          <w:rtl/>
        </w:rPr>
        <w:t xml:space="preserve"> </w:t>
      </w:r>
      <w:r>
        <w:rPr>
          <w:rFonts w:ascii="mylotus" w:hAnsi="mylotus"/>
          <w:sz w:val="34"/>
          <w:szCs w:val="34"/>
          <w:rtl/>
        </w:rPr>
        <w:t>يخلو</w:t>
      </w:r>
      <w:r w:rsidRPr="00D10B11">
        <w:rPr>
          <w:rFonts w:ascii="mylotus" w:hAnsi="mylotus"/>
          <w:sz w:val="34"/>
          <w:szCs w:val="34"/>
          <w:rtl/>
        </w:rPr>
        <w:t xml:space="preserve"> من اشتباه</w:t>
      </w:r>
      <w:r>
        <w:rPr>
          <w:rFonts w:ascii="mylotus" w:hAnsi="mylotus"/>
          <w:sz w:val="34"/>
          <w:szCs w:val="34"/>
          <w:rtl/>
        </w:rPr>
        <w:t>؛</w:t>
      </w:r>
      <w:r w:rsidRPr="00D10B11">
        <w:rPr>
          <w:rFonts w:ascii="mylotus" w:hAnsi="mylotus"/>
          <w:sz w:val="34"/>
          <w:szCs w:val="34"/>
          <w:rtl/>
        </w:rPr>
        <w:t xml:space="preserve"> فإن منظور صاحب الكفاية قدس سره أن محل البحث في المفهومين اللذين بينهما عموم من وجه، والعامان من وجه يفترقان ويلتقيان، فإذا التقى العامان من وجه في مجمع معين، كما إذا قال: (أكرم عالماً) و(لا تكرم فاسقاً)، فأكرم عالماً فاسقاً، أو قال: (توضأ) و(لا تغصب)، فتوضأ بالماء المغصوب، فمجمع العامين من وجه هو الواحد الذي قد يكون واحداً حقيقة وقد يكون واحداً بالنظر العرفي. مثلاً: إذا توضأ بالماء المغصوب، فإن الوضوء بالماء المغصوب كلي يصدق على كثيرين، لكنه لو تحقق في الخارج</w:t>
      </w:r>
      <w:r>
        <w:rPr>
          <w:rFonts w:ascii="mylotus" w:hAnsi="mylotus"/>
          <w:sz w:val="34"/>
          <w:szCs w:val="34"/>
          <w:rtl/>
        </w:rPr>
        <w:t xml:space="preserve"> </w:t>
      </w:r>
      <w:r w:rsidRPr="00D10B11">
        <w:rPr>
          <w:rFonts w:ascii="mylotus" w:hAnsi="mylotus"/>
          <w:sz w:val="34"/>
          <w:szCs w:val="34"/>
          <w:rtl/>
        </w:rPr>
        <w:t>يكون واحداً بالحقيقة؛ لأن الغسل من مقولة الفعل، وهذه المقولة هي وضوء وهي غصب؛ لأنها تصرف في الماء دون إذن مالكه</w:t>
      </w:r>
      <w:r>
        <w:rPr>
          <w:rFonts w:ascii="mylotus" w:hAnsi="mylotus"/>
          <w:sz w:val="34"/>
          <w:szCs w:val="34"/>
          <w:rtl/>
        </w:rPr>
        <w:t xml:space="preserve">، </w:t>
      </w:r>
      <w:r w:rsidRPr="00D10B11">
        <w:rPr>
          <w:rFonts w:ascii="mylotus" w:hAnsi="mylotus"/>
          <w:sz w:val="34"/>
          <w:szCs w:val="34"/>
          <w:rtl/>
        </w:rPr>
        <w:t>وقد يكون واحداً بالنظر العرفي كالصلاة قائماً في الدار المغصوبة، فإن القيام وإن كان بالنظر العرفي واحداً إذ لا</w:t>
      </w:r>
      <w:r>
        <w:rPr>
          <w:rFonts w:ascii="mylotus" w:hAnsi="mylotus" w:hint="cs"/>
          <w:sz w:val="34"/>
          <w:szCs w:val="34"/>
          <w:rtl/>
        </w:rPr>
        <w:t xml:space="preserve"> </w:t>
      </w:r>
      <w:r w:rsidRPr="00D10B11">
        <w:rPr>
          <w:rFonts w:ascii="mylotus" w:hAnsi="mylotus"/>
          <w:sz w:val="34"/>
          <w:szCs w:val="34"/>
          <w:rtl/>
        </w:rPr>
        <w:t>يرى بالحس وجودان</w:t>
      </w:r>
      <w:r>
        <w:rPr>
          <w:rFonts w:ascii="mylotus" w:hAnsi="mylotus"/>
          <w:sz w:val="34"/>
          <w:szCs w:val="34"/>
          <w:rtl/>
        </w:rPr>
        <w:t>،</w:t>
      </w:r>
      <w:r w:rsidRPr="00D10B11">
        <w:rPr>
          <w:rFonts w:ascii="mylotus" w:hAnsi="mylotus"/>
          <w:sz w:val="34"/>
          <w:szCs w:val="34"/>
          <w:rtl/>
        </w:rPr>
        <w:t xml:space="preserve"> لكنه بالنظر الدقي وجودان؛ لأن القيام بمعنى انتصاب القامة من مقولة الوضع، وكون هذا القيام في الدار المغصوبة من مقولة </w:t>
      </w:r>
      <w:proofErr w:type="spellStart"/>
      <w:r w:rsidRPr="00D10B11">
        <w:rPr>
          <w:rFonts w:ascii="mylotus" w:hAnsi="mylotus"/>
          <w:sz w:val="34"/>
          <w:szCs w:val="34"/>
          <w:rtl/>
        </w:rPr>
        <w:t>الأين</w:t>
      </w:r>
      <w:proofErr w:type="spellEnd"/>
      <w:r w:rsidRPr="00D10B11">
        <w:rPr>
          <w:rFonts w:ascii="mylotus" w:hAnsi="mylotus"/>
          <w:sz w:val="34"/>
          <w:szCs w:val="34"/>
          <w:rtl/>
        </w:rPr>
        <w:t>، والمقولات متباينة، فلكل مقولة وجود بإزائها، مما يعني أن</w:t>
      </w:r>
      <w:r>
        <w:rPr>
          <w:rFonts w:ascii="mylotus" w:hAnsi="mylotus"/>
          <w:sz w:val="34"/>
          <w:szCs w:val="34"/>
          <w:rtl/>
        </w:rPr>
        <w:t xml:space="preserve"> </w:t>
      </w:r>
      <w:r w:rsidRPr="00D10B11">
        <w:rPr>
          <w:rFonts w:ascii="mylotus" w:hAnsi="mylotus"/>
          <w:sz w:val="34"/>
          <w:szCs w:val="34"/>
          <w:rtl/>
        </w:rPr>
        <w:t>القيام للصلاة في الدار المغصوبة وجودان عقلاً، ووجود واحد عرفاً. وبذلك يتضح</w:t>
      </w:r>
      <w:r>
        <w:rPr>
          <w:rFonts w:ascii="mylotus" w:hAnsi="mylotus"/>
          <w:sz w:val="34"/>
          <w:szCs w:val="34"/>
          <w:rtl/>
        </w:rPr>
        <w:t>:</w:t>
      </w:r>
      <w:r w:rsidRPr="00D10B11">
        <w:rPr>
          <w:rFonts w:ascii="mylotus" w:hAnsi="mylotus"/>
          <w:sz w:val="34"/>
          <w:szCs w:val="34"/>
          <w:rtl/>
        </w:rPr>
        <w:t xml:space="preserve"> أن المراد بالواحد في المقام الكلي ذو الوجهين، المندرج تحت عنوانين، الذي لو تحقق في الخارج لكان واحدا، إما واحدا بالحقيقة أو واحدا بالنظر العرفي. فلا معنى للإشكال عليه بما</w:t>
      </w:r>
      <w:r>
        <w:rPr>
          <w:rFonts w:ascii="mylotus" w:hAnsi="mylotus" w:hint="cs"/>
          <w:sz w:val="34"/>
          <w:szCs w:val="34"/>
          <w:rtl/>
        </w:rPr>
        <w:t xml:space="preserve"> </w:t>
      </w:r>
      <w:r w:rsidRPr="00D10B11">
        <w:rPr>
          <w:rFonts w:ascii="mylotus" w:hAnsi="mylotus"/>
          <w:sz w:val="34"/>
          <w:szCs w:val="34"/>
          <w:rtl/>
        </w:rPr>
        <w:t>أفيد</w:t>
      </w:r>
      <w:r w:rsidRPr="00D10B11">
        <w:rPr>
          <w:rFonts w:ascii="mylotus" w:hAnsi="mylotus"/>
          <w:sz w:val="34"/>
          <w:szCs w:val="34"/>
        </w:rPr>
        <w:t>.</w:t>
      </w:r>
    </w:p>
    <w:p w14:paraId="60E5287B" w14:textId="6D2714B1" w:rsidR="00D10B11" w:rsidRPr="00D10B11" w:rsidRDefault="00D10B11" w:rsidP="00D10B11">
      <w:pPr>
        <w:pStyle w:val="a0"/>
        <w:bidi/>
        <w:spacing w:line="216" w:lineRule="auto"/>
        <w:rPr>
          <w:rFonts w:ascii="mylotus" w:hAnsi="mylotus"/>
          <w:b/>
          <w:bCs/>
          <w:sz w:val="34"/>
          <w:szCs w:val="34"/>
          <w:rtl/>
        </w:rPr>
      </w:pPr>
      <w:r>
        <w:rPr>
          <w:rFonts w:ascii="mylotus" w:hAnsi="mylotus"/>
          <w:b/>
          <w:bCs/>
          <w:sz w:val="34"/>
          <w:szCs w:val="34"/>
          <w:rtl/>
        </w:rPr>
        <w:t xml:space="preserve">تنبيه </w:t>
      </w:r>
      <w:r w:rsidRPr="00D10B11">
        <w:rPr>
          <w:rFonts w:ascii="mylotus" w:hAnsi="mylotus"/>
          <w:b/>
          <w:bCs/>
          <w:sz w:val="34"/>
          <w:szCs w:val="34"/>
          <w:rtl/>
        </w:rPr>
        <w:t>على موردين</w:t>
      </w:r>
      <w:r w:rsidRPr="00D10B11">
        <w:rPr>
          <w:rFonts w:ascii="mylotus" w:hAnsi="mylotus"/>
          <w:b/>
          <w:bCs/>
          <w:sz w:val="34"/>
          <w:szCs w:val="34"/>
        </w:rPr>
        <w:t>:</w:t>
      </w:r>
    </w:p>
    <w:p w14:paraId="524ED637" w14:textId="0DCD88B7" w:rsidR="00D10B11" w:rsidRPr="00D10B11" w:rsidRDefault="00D10B11" w:rsidP="00D10B11">
      <w:pPr>
        <w:pStyle w:val="a0"/>
        <w:bidi/>
        <w:spacing w:line="216" w:lineRule="auto"/>
        <w:rPr>
          <w:rFonts w:ascii="mylotus" w:hAnsi="mylotus"/>
          <w:sz w:val="34"/>
          <w:szCs w:val="34"/>
          <w:rtl/>
        </w:rPr>
      </w:pPr>
      <w:r w:rsidRPr="00D10B11">
        <w:rPr>
          <w:rFonts w:ascii="mylotus" w:hAnsi="mylotus"/>
          <w:b/>
          <w:bCs/>
          <w:sz w:val="34"/>
          <w:szCs w:val="34"/>
          <w:rtl/>
        </w:rPr>
        <w:t>المورد الأول:</w:t>
      </w:r>
      <w:r w:rsidRPr="00D10B11">
        <w:rPr>
          <w:rFonts w:ascii="mylotus" w:hAnsi="mylotus"/>
          <w:sz w:val="34"/>
          <w:szCs w:val="34"/>
          <w:rtl/>
        </w:rPr>
        <w:t xml:space="preserve"> في عنوان (الأحد)،</w:t>
      </w:r>
      <w:r>
        <w:rPr>
          <w:rFonts w:ascii="mylotus" w:hAnsi="mylotus"/>
          <w:sz w:val="34"/>
          <w:szCs w:val="34"/>
          <w:rtl/>
        </w:rPr>
        <w:t xml:space="preserve"> </w:t>
      </w:r>
      <w:r w:rsidRPr="00D10B11">
        <w:rPr>
          <w:rFonts w:ascii="mylotus" w:hAnsi="mylotus"/>
          <w:sz w:val="34"/>
          <w:szCs w:val="34"/>
          <w:rtl/>
        </w:rPr>
        <w:t>هل أن عنوان الأحد داخل في محل النزاع؟ مثلاً: إذا قال المولى: (أخرج في الكفارة إحدى الخصال</w:t>
      </w:r>
      <w:r>
        <w:rPr>
          <w:rFonts w:ascii="mylotus" w:hAnsi="mylotus"/>
          <w:sz w:val="34"/>
          <w:szCs w:val="34"/>
          <w:rtl/>
        </w:rPr>
        <w:t xml:space="preserve"> </w:t>
      </w:r>
      <w:r w:rsidRPr="00D10B11">
        <w:rPr>
          <w:rFonts w:ascii="mylotus" w:hAnsi="mylotus"/>
          <w:sz w:val="34"/>
          <w:szCs w:val="34"/>
          <w:rtl/>
        </w:rPr>
        <w:t>الثلاث) و(لا تخرج إحداها</w:t>
      </w:r>
      <w:r>
        <w:rPr>
          <w:rFonts w:ascii="mylotus" w:hAnsi="mylotus"/>
          <w:sz w:val="34"/>
          <w:szCs w:val="34"/>
          <w:rtl/>
        </w:rPr>
        <w:t>)</w:t>
      </w:r>
      <w:r w:rsidRPr="00D10B11">
        <w:rPr>
          <w:rFonts w:ascii="mylotus" w:hAnsi="mylotus"/>
          <w:sz w:val="34"/>
          <w:szCs w:val="34"/>
          <w:rtl/>
        </w:rPr>
        <w:t xml:space="preserve">، فهل الأمر والنهي مما </w:t>
      </w:r>
      <w:r w:rsidR="00223968">
        <w:rPr>
          <w:rFonts w:ascii="mylotus" w:hAnsi="mylotus"/>
          <w:sz w:val="34"/>
          <w:szCs w:val="34"/>
          <w:rtl/>
        </w:rPr>
        <w:t>يدخل في بحث اجتماع الأمر والنهي</w:t>
      </w:r>
      <w:r w:rsidRPr="00D10B11">
        <w:rPr>
          <w:rFonts w:ascii="mylotus" w:hAnsi="mylotus"/>
          <w:sz w:val="34"/>
          <w:szCs w:val="34"/>
          <w:rtl/>
        </w:rPr>
        <w:t xml:space="preserve"> أم لا؟</w:t>
      </w:r>
    </w:p>
    <w:p w14:paraId="357CEC86" w14:textId="1D68C668" w:rsidR="00D10B11" w:rsidRPr="00D10B11" w:rsidRDefault="00D10B11" w:rsidP="00D10B11">
      <w:pPr>
        <w:pStyle w:val="a0"/>
        <w:bidi/>
        <w:spacing w:line="216" w:lineRule="auto"/>
        <w:rPr>
          <w:rFonts w:ascii="mylotus" w:hAnsi="mylotus"/>
          <w:sz w:val="34"/>
          <w:szCs w:val="34"/>
          <w:rtl/>
        </w:rPr>
      </w:pPr>
      <w:r w:rsidRPr="00223968">
        <w:rPr>
          <w:rFonts w:ascii="mylotus" w:hAnsi="mylotus"/>
          <w:b/>
          <w:bCs/>
          <w:sz w:val="34"/>
          <w:szCs w:val="34"/>
          <w:rtl/>
        </w:rPr>
        <w:lastRenderedPageBreak/>
        <w:t>الصحيح</w:t>
      </w:r>
      <w:r w:rsidRPr="00223968">
        <w:rPr>
          <w:rFonts w:ascii="mylotus" w:hAnsi="mylotus"/>
          <w:b/>
          <w:bCs/>
          <w:sz w:val="34"/>
          <w:szCs w:val="34"/>
          <w:rtl/>
        </w:rPr>
        <w:t>:</w:t>
      </w:r>
      <w:r w:rsidRPr="00D10B11">
        <w:rPr>
          <w:rFonts w:ascii="mylotus" w:hAnsi="mylotus"/>
          <w:sz w:val="34"/>
          <w:szCs w:val="34"/>
          <w:rtl/>
        </w:rPr>
        <w:t xml:space="preserve"> أن ذلك</w:t>
      </w:r>
      <w:r>
        <w:rPr>
          <w:rFonts w:ascii="mylotus" w:hAnsi="mylotus"/>
          <w:sz w:val="34"/>
          <w:szCs w:val="34"/>
          <w:rtl/>
        </w:rPr>
        <w:t xml:space="preserve"> </w:t>
      </w:r>
      <w:r w:rsidRPr="00D10B11">
        <w:rPr>
          <w:rFonts w:ascii="mylotus" w:hAnsi="mylotus"/>
          <w:sz w:val="34"/>
          <w:szCs w:val="34"/>
          <w:rtl/>
        </w:rPr>
        <w:t>يختلف باختلاف المراد من النهي وهو قوله: (ولا تخرج إحداها). فإن كان المقصود بـ (الأحد هو المعين)،</w:t>
      </w:r>
      <w:r>
        <w:rPr>
          <w:rFonts w:ascii="mylotus" w:hAnsi="mylotus"/>
          <w:sz w:val="34"/>
          <w:szCs w:val="34"/>
          <w:rtl/>
        </w:rPr>
        <w:t xml:space="preserve"> </w:t>
      </w:r>
      <w:r w:rsidRPr="00D10B11">
        <w:rPr>
          <w:rFonts w:ascii="mylotus" w:hAnsi="mylotus"/>
          <w:sz w:val="34"/>
          <w:szCs w:val="34"/>
          <w:rtl/>
        </w:rPr>
        <w:t xml:space="preserve">أي </w:t>
      </w:r>
      <w:r>
        <w:rPr>
          <w:rFonts w:ascii="mylotus" w:hAnsi="mylotus"/>
          <w:sz w:val="34"/>
          <w:szCs w:val="34"/>
          <w:rtl/>
        </w:rPr>
        <w:t>(</w:t>
      </w:r>
      <w:r w:rsidRPr="00D10B11">
        <w:rPr>
          <w:rFonts w:ascii="mylotus" w:hAnsi="mylotus"/>
          <w:sz w:val="34"/>
          <w:szCs w:val="34"/>
          <w:rtl/>
        </w:rPr>
        <w:t>لا تخرج الإطعام مثلاً)، فيدخل في محل النزاع؛ لأنه من قبيل المطلق والمقيد</w:t>
      </w:r>
      <w:r>
        <w:rPr>
          <w:rFonts w:ascii="mylotus" w:hAnsi="mylotus"/>
          <w:sz w:val="34"/>
          <w:szCs w:val="34"/>
          <w:rtl/>
        </w:rPr>
        <w:t>،</w:t>
      </w:r>
      <w:r w:rsidRPr="00D10B11">
        <w:rPr>
          <w:rFonts w:ascii="mylotus" w:hAnsi="mylotus"/>
          <w:sz w:val="34"/>
          <w:szCs w:val="34"/>
          <w:rtl/>
        </w:rPr>
        <w:t xml:space="preserve"> حيث إن (أخرج أحدها</w:t>
      </w:r>
      <w:r>
        <w:rPr>
          <w:rFonts w:ascii="mylotus" w:hAnsi="mylotus"/>
          <w:sz w:val="34"/>
          <w:szCs w:val="34"/>
          <w:rtl/>
        </w:rPr>
        <w:t>)</w:t>
      </w:r>
      <w:r w:rsidRPr="00D10B11">
        <w:rPr>
          <w:rFonts w:ascii="mylotus" w:hAnsi="mylotus"/>
          <w:sz w:val="34"/>
          <w:szCs w:val="34"/>
          <w:rtl/>
        </w:rPr>
        <w:t xml:space="preserve"> مطلق و(لا تخرج الأحد المعين) من المقيد</w:t>
      </w:r>
      <w:r>
        <w:rPr>
          <w:rFonts w:ascii="mylotus" w:hAnsi="mylotus"/>
          <w:sz w:val="34"/>
          <w:szCs w:val="34"/>
          <w:rtl/>
        </w:rPr>
        <w:t xml:space="preserve">، </w:t>
      </w:r>
      <w:r w:rsidRPr="00D10B11">
        <w:rPr>
          <w:rFonts w:ascii="mylotus" w:hAnsi="mylotus"/>
          <w:sz w:val="34"/>
          <w:szCs w:val="34"/>
          <w:rtl/>
        </w:rPr>
        <w:t>والمطلق والمقيد مما يدخل ضمن البحث</w:t>
      </w:r>
      <w:r w:rsidRPr="00D10B11">
        <w:rPr>
          <w:rFonts w:ascii="mylotus" w:hAnsi="mylotus"/>
          <w:sz w:val="34"/>
          <w:szCs w:val="34"/>
        </w:rPr>
        <w:t>.</w:t>
      </w:r>
    </w:p>
    <w:p w14:paraId="148AA3C7" w14:textId="528DB1AF" w:rsidR="00D10B11" w:rsidRPr="00D10B11" w:rsidRDefault="00D10B11" w:rsidP="00D10B11">
      <w:pPr>
        <w:pStyle w:val="a0"/>
        <w:bidi/>
        <w:spacing w:line="216" w:lineRule="auto"/>
        <w:rPr>
          <w:rFonts w:ascii="mylotus" w:hAnsi="mylotus"/>
          <w:sz w:val="34"/>
          <w:szCs w:val="34"/>
          <w:rtl/>
        </w:rPr>
      </w:pPr>
      <w:r w:rsidRPr="00D10B11">
        <w:rPr>
          <w:rFonts w:ascii="mylotus" w:hAnsi="mylotus"/>
          <w:sz w:val="34"/>
          <w:szCs w:val="34"/>
          <w:rtl/>
        </w:rPr>
        <w:t xml:space="preserve">وإن كان المراد بقوله: (ولا تخرج إحداها) السالبة الكلية، أي </w:t>
      </w:r>
      <w:r>
        <w:rPr>
          <w:rFonts w:ascii="mylotus" w:hAnsi="mylotus"/>
          <w:sz w:val="34"/>
          <w:szCs w:val="34"/>
          <w:rtl/>
        </w:rPr>
        <w:t>(</w:t>
      </w:r>
      <w:r w:rsidRPr="00D10B11">
        <w:rPr>
          <w:rFonts w:ascii="mylotus" w:hAnsi="mylotus"/>
          <w:sz w:val="34"/>
          <w:szCs w:val="34"/>
          <w:rtl/>
        </w:rPr>
        <w:t>لا</w:t>
      </w:r>
      <w:r>
        <w:rPr>
          <w:rFonts w:ascii="mylotus" w:hAnsi="mylotus" w:hint="cs"/>
          <w:sz w:val="34"/>
          <w:szCs w:val="34"/>
          <w:rtl/>
        </w:rPr>
        <w:t xml:space="preserve"> </w:t>
      </w:r>
      <w:r w:rsidRPr="00D10B11">
        <w:rPr>
          <w:rFonts w:ascii="mylotus" w:hAnsi="mylotus"/>
          <w:sz w:val="34"/>
          <w:szCs w:val="34"/>
          <w:rtl/>
        </w:rPr>
        <w:t>تخرج أي واحد منها</w:t>
      </w:r>
      <w:r>
        <w:rPr>
          <w:rFonts w:ascii="mylotus" w:hAnsi="mylotus"/>
          <w:sz w:val="34"/>
          <w:szCs w:val="34"/>
          <w:rtl/>
        </w:rPr>
        <w:t xml:space="preserve">) </w:t>
      </w:r>
      <w:r w:rsidRPr="00D10B11">
        <w:rPr>
          <w:rFonts w:ascii="mylotus" w:hAnsi="mylotus"/>
          <w:sz w:val="34"/>
          <w:szCs w:val="34"/>
          <w:rtl/>
        </w:rPr>
        <w:t>فلا إشكال في أنه يخرج عن محل النزاع، لاستحالة اجتماع الموجبة الجزئية مع السالبة الكلية لتناقضهما</w:t>
      </w:r>
      <w:r>
        <w:rPr>
          <w:rFonts w:ascii="mylotus" w:hAnsi="mylotus"/>
          <w:sz w:val="34"/>
          <w:szCs w:val="34"/>
          <w:rtl/>
        </w:rPr>
        <w:t>.</w:t>
      </w:r>
    </w:p>
    <w:p w14:paraId="25B9CDA1" w14:textId="5D9FDDE9" w:rsidR="00D10B11" w:rsidRPr="00D10B11" w:rsidRDefault="00D10B11" w:rsidP="00D10B11">
      <w:pPr>
        <w:pStyle w:val="a0"/>
        <w:bidi/>
        <w:spacing w:line="216" w:lineRule="auto"/>
        <w:rPr>
          <w:rFonts w:ascii="mylotus" w:hAnsi="mylotus"/>
          <w:sz w:val="34"/>
          <w:szCs w:val="34"/>
          <w:rtl/>
        </w:rPr>
      </w:pPr>
      <w:r w:rsidRPr="00D10B11">
        <w:rPr>
          <w:rFonts w:ascii="mylotus" w:hAnsi="mylotus"/>
          <w:sz w:val="34"/>
          <w:szCs w:val="34"/>
          <w:rtl/>
        </w:rPr>
        <w:t>وإن كان المراد بقوله: (لا تخرج إحداها) النهي عن الجمع لا عن الفرد، أي لا تجمع في الإخراج بين فردين</w:t>
      </w:r>
      <w:r>
        <w:rPr>
          <w:rFonts w:ascii="mylotus" w:hAnsi="mylotus"/>
          <w:sz w:val="34"/>
          <w:szCs w:val="34"/>
          <w:rtl/>
        </w:rPr>
        <w:t>،</w:t>
      </w:r>
      <w:r w:rsidRPr="00D10B11">
        <w:rPr>
          <w:rFonts w:ascii="mylotus" w:hAnsi="mylotus"/>
          <w:sz w:val="34"/>
          <w:szCs w:val="34"/>
          <w:rtl/>
        </w:rPr>
        <w:t xml:space="preserve"> فبما أن المنهي عنه الجمع، فيخرج الفرض</w:t>
      </w:r>
      <w:r>
        <w:rPr>
          <w:rFonts w:ascii="mylotus" w:hAnsi="mylotus"/>
          <w:sz w:val="34"/>
          <w:szCs w:val="34"/>
          <w:rtl/>
        </w:rPr>
        <w:t xml:space="preserve"> </w:t>
      </w:r>
      <w:r w:rsidRPr="00D10B11">
        <w:rPr>
          <w:rFonts w:ascii="mylotus" w:hAnsi="mylotus"/>
          <w:sz w:val="34"/>
          <w:szCs w:val="34"/>
          <w:rtl/>
        </w:rPr>
        <w:t>عن محل النزاع؛ لإمكان اجتماع الأمر والنهي</w:t>
      </w:r>
      <w:r>
        <w:rPr>
          <w:rFonts w:ascii="mylotus" w:hAnsi="mylotus"/>
          <w:sz w:val="34"/>
          <w:szCs w:val="34"/>
          <w:rtl/>
        </w:rPr>
        <w:t xml:space="preserve"> </w:t>
      </w:r>
      <w:r w:rsidRPr="00D10B11">
        <w:rPr>
          <w:rFonts w:ascii="mylotus" w:hAnsi="mylotus"/>
          <w:sz w:val="34"/>
          <w:szCs w:val="34"/>
          <w:rtl/>
        </w:rPr>
        <w:t>بلا حاجة للبحث، فكما أن النحو الثاني يخرج عن محل النزاع لوضوح الاستحالة، فالنحو الثالث يخرج عن محل النزاع أيضا لوضوح إمكان الجمع</w:t>
      </w:r>
      <w:r w:rsidRPr="00D10B11">
        <w:rPr>
          <w:rFonts w:ascii="mylotus" w:hAnsi="mylotus"/>
          <w:sz w:val="34"/>
          <w:szCs w:val="34"/>
        </w:rPr>
        <w:t>.</w:t>
      </w:r>
    </w:p>
    <w:p w14:paraId="64126623" w14:textId="33324780" w:rsidR="00D10B11" w:rsidRPr="00D10B11" w:rsidRDefault="00D10B11" w:rsidP="00D10B11">
      <w:pPr>
        <w:pStyle w:val="a0"/>
        <w:bidi/>
        <w:spacing w:line="216" w:lineRule="auto"/>
        <w:rPr>
          <w:rFonts w:ascii="mylotus" w:hAnsi="mylotus"/>
          <w:sz w:val="34"/>
          <w:szCs w:val="34"/>
          <w:rtl/>
        </w:rPr>
      </w:pPr>
      <w:r w:rsidRPr="00D10B11">
        <w:rPr>
          <w:rFonts w:ascii="mylotus" w:hAnsi="mylotus"/>
          <w:b/>
          <w:bCs/>
          <w:sz w:val="34"/>
          <w:szCs w:val="34"/>
          <w:rtl/>
        </w:rPr>
        <w:t>المورد الثاني:</w:t>
      </w:r>
      <w:r w:rsidRPr="00D10B11">
        <w:rPr>
          <w:rFonts w:ascii="mylotus" w:hAnsi="mylotus"/>
          <w:sz w:val="34"/>
          <w:szCs w:val="34"/>
          <w:rtl/>
        </w:rPr>
        <w:t xml:space="preserve"> لو قال المولى: (عظم العالم) و(لا تعظم الفاسق)، فدخل العالم والفاسق المجلس وقام المكلف، وصدق على قيامه عرفاً أنه تعظيم للعالم وتعظيم للفاسق، حيث إن المورد من موارد </w:t>
      </w:r>
      <w:proofErr w:type="spellStart"/>
      <w:r w:rsidRPr="00D10B11">
        <w:rPr>
          <w:rFonts w:ascii="mylotus" w:hAnsi="mylotus"/>
          <w:sz w:val="34"/>
          <w:szCs w:val="34"/>
          <w:rtl/>
        </w:rPr>
        <w:t>الانطباقات</w:t>
      </w:r>
      <w:proofErr w:type="spellEnd"/>
      <w:r w:rsidRPr="00D10B11">
        <w:rPr>
          <w:rFonts w:ascii="mylotus" w:hAnsi="mylotus"/>
          <w:sz w:val="34"/>
          <w:szCs w:val="34"/>
          <w:rtl/>
        </w:rPr>
        <w:t xml:space="preserve"> العرفية، فهل يدخل ذلك في محل النزاع؟ نعم يدخل في محل النزاع،</w:t>
      </w:r>
      <w:r>
        <w:rPr>
          <w:rFonts w:ascii="mylotus" w:hAnsi="mylotus"/>
          <w:sz w:val="34"/>
          <w:szCs w:val="34"/>
          <w:rtl/>
        </w:rPr>
        <w:t xml:space="preserve"> </w:t>
      </w:r>
      <w:r w:rsidRPr="00D10B11">
        <w:rPr>
          <w:rFonts w:ascii="mylotus" w:hAnsi="mylotus"/>
          <w:sz w:val="34"/>
          <w:szCs w:val="34"/>
          <w:rtl/>
        </w:rPr>
        <w:t>فهو من قبيل وحدة المعنون وتعدد الإضافة، كما لو قال: (أكرم عالماً) و(لا تكرم فاسقاً)، فأكرم عالماً فاسقاً،</w:t>
      </w:r>
      <w:r>
        <w:rPr>
          <w:rFonts w:ascii="mylotus" w:hAnsi="mylotus"/>
          <w:sz w:val="34"/>
          <w:szCs w:val="34"/>
          <w:rtl/>
        </w:rPr>
        <w:t xml:space="preserve"> </w:t>
      </w:r>
      <w:r w:rsidRPr="00D10B11">
        <w:rPr>
          <w:rFonts w:ascii="mylotus" w:hAnsi="mylotus"/>
          <w:sz w:val="34"/>
          <w:szCs w:val="34"/>
          <w:rtl/>
        </w:rPr>
        <w:t>فيأتي البحث فيه في أن تعدد الإضافة هل يجدي في دفع محذور غائلة اجتماع الضدين أم لا؟</w:t>
      </w:r>
    </w:p>
    <w:p w14:paraId="30E545F3" w14:textId="77777777" w:rsidR="00D10B11" w:rsidRPr="00D10B11" w:rsidRDefault="00D10B11" w:rsidP="00D10B11">
      <w:pPr>
        <w:pStyle w:val="a0"/>
        <w:bidi/>
        <w:spacing w:line="216" w:lineRule="auto"/>
        <w:rPr>
          <w:rFonts w:ascii="mylotus" w:hAnsi="mylotus"/>
          <w:sz w:val="34"/>
          <w:szCs w:val="34"/>
          <w:rtl/>
        </w:rPr>
      </w:pPr>
      <w:r w:rsidRPr="00D10B11">
        <w:rPr>
          <w:rFonts w:ascii="mylotus" w:hAnsi="mylotus"/>
          <w:sz w:val="34"/>
          <w:szCs w:val="34"/>
          <w:rtl/>
        </w:rPr>
        <w:t>تم الكلام في الأمر الأول</w:t>
      </w:r>
      <w:r w:rsidRPr="00D10B11">
        <w:rPr>
          <w:rFonts w:ascii="mylotus" w:hAnsi="mylotus"/>
          <w:sz w:val="34"/>
          <w:szCs w:val="34"/>
        </w:rPr>
        <w:t>.</w:t>
      </w:r>
    </w:p>
    <w:p w14:paraId="66B95111" w14:textId="7C5975BF" w:rsidR="00D10B11" w:rsidRPr="00D10B11" w:rsidRDefault="00D10B11" w:rsidP="00D10B11">
      <w:pPr>
        <w:pStyle w:val="a0"/>
        <w:bidi/>
        <w:spacing w:line="216" w:lineRule="auto"/>
        <w:rPr>
          <w:rFonts w:ascii="mylotus" w:hAnsi="mylotus"/>
          <w:sz w:val="34"/>
          <w:szCs w:val="34"/>
          <w:rtl/>
        </w:rPr>
      </w:pPr>
      <w:r w:rsidRPr="00D10B11">
        <w:rPr>
          <w:rFonts w:ascii="mylotus" w:hAnsi="mylotus"/>
          <w:b/>
          <w:bCs/>
          <w:sz w:val="34"/>
          <w:szCs w:val="34"/>
          <w:rtl/>
        </w:rPr>
        <w:t>الأمر</w:t>
      </w:r>
      <w:r>
        <w:rPr>
          <w:rFonts w:ascii="mylotus" w:hAnsi="mylotus"/>
          <w:b/>
          <w:bCs/>
          <w:sz w:val="34"/>
          <w:szCs w:val="34"/>
          <w:rtl/>
        </w:rPr>
        <w:t xml:space="preserve"> </w:t>
      </w:r>
      <w:r w:rsidRPr="00D10B11">
        <w:rPr>
          <w:rFonts w:ascii="mylotus" w:hAnsi="mylotus"/>
          <w:b/>
          <w:bCs/>
          <w:sz w:val="34"/>
          <w:szCs w:val="34"/>
          <w:rtl/>
        </w:rPr>
        <w:t>الثاني:</w:t>
      </w:r>
      <w:r w:rsidRPr="00D10B11">
        <w:rPr>
          <w:rFonts w:ascii="mylotus" w:hAnsi="mylotus"/>
          <w:sz w:val="34"/>
          <w:szCs w:val="34"/>
          <w:rtl/>
        </w:rPr>
        <w:t xml:space="preserve"> في ما هو الفارق بين مسألة اجتماع الأمر والنهي، ومسألة أن النهي في العبادة يقتضي الفساد؟</w:t>
      </w:r>
    </w:p>
    <w:p w14:paraId="6E67F88D" w14:textId="1DFEA3AD" w:rsidR="00D10B11" w:rsidRPr="00D10B11" w:rsidRDefault="00D10B11" w:rsidP="00D10B11">
      <w:pPr>
        <w:pStyle w:val="a0"/>
        <w:bidi/>
        <w:spacing w:line="216" w:lineRule="auto"/>
        <w:rPr>
          <w:rFonts w:ascii="mylotus" w:hAnsi="mylotus"/>
          <w:sz w:val="34"/>
          <w:szCs w:val="34"/>
          <w:rtl/>
        </w:rPr>
      </w:pPr>
      <w:r w:rsidRPr="00D10B11">
        <w:rPr>
          <w:rFonts w:ascii="mylotus" w:hAnsi="mylotus"/>
          <w:sz w:val="34"/>
          <w:szCs w:val="34"/>
          <w:rtl/>
        </w:rPr>
        <w:t>إذ قد يتوهم أن المسألتين من باب واحد، والوجه في ذلك: أن مرجع البحث في مسألة (هل يجوز اجتماع الأمر والنهي في واحد أم لا؟)، إلى: هل</w:t>
      </w:r>
      <w:r>
        <w:rPr>
          <w:rFonts w:ascii="mylotus" w:hAnsi="mylotus"/>
          <w:sz w:val="34"/>
          <w:szCs w:val="34"/>
          <w:rtl/>
        </w:rPr>
        <w:t xml:space="preserve"> أن النهي يزيل الأمر في مورد ال</w:t>
      </w:r>
      <w:r>
        <w:rPr>
          <w:rFonts w:ascii="mylotus" w:hAnsi="mylotus" w:hint="cs"/>
          <w:sz w:val="34"/>
          <w:szCs w:val="34"/>
          <w:rtl/>
        </w:rPr>
        <w:t>ا</w:t>
      </w:r>
      <w:r w:rsidRPr="00D10B11">
        <w:rPr>
          <w:rFonts w:ascii="mylotus" w:hAnsi="mylotus"/>
          <w:sz w:val="34"/>
          <w:szCs w:val="34"/>
          <w:rtl/>
        </w:rPr>
        <w:t>جتما</w:t>
      </w:r>
      <w:r>
        <w:rPr>
          <w:rFonts w:ascii="mylotus" w:hAnsi="mylotus"/>
          <w:sz w:val="34"/>
          <w:szCs w:val="34"/>
          <w:rtl/>
        </w:rPr>
        <w:t>ع أم لا؟ وكذلك البحث في مسألة (</w:t>
      </w:r>
      <w:r w:rsidRPr="00D10B11">
        <w:rPr>
          <w:rFonts w:ascii="mylotus" w:hAnsi="mylotus"/>
          <w:sz w:val="34"/>
          <w:szCs w:val="34"/>
          <w:rtl/>
        </w:rPr>
        <w:t>هل النهي يقتضي الفساد في العبادات أم لا؟) حيث إن</w:t>
      </w:r>
      <w:r>
        <w:rPr>
          <w:rFonts w:ascii="mylotus" w:hAnsi="mylotus"/>
          <w:sz w:val="34"/>
          <w:szCs w:val="34"/>
          <w:rtl/>
        </w:rPr>
        <w:t xml:space="preserve"> </w:t>
      </w:r>
      <w:r w:rsidRPr="00D10B11">
        <w:rPr>
          <w:rFonts w:ascii="mylotus" w:hAnsi="mylotus"/>
          <w:sz w:val="34"/>
          <w:szCs w:val="34"/>
          <w:rtl/>
        </w:rPr>
        <w:t>العبادة مأمور بها، فإذا تعلق النهي بها، فهل النهي يزيل الأمر بها أم لا؟ فالنكتة في المسألتين واحدة، وهي هل أن النهي يزيل الأمر أم لا؟ فما هو الموجب لعقد مسألتين؟</w:t>
      </w:r>
    </w:p>
    <w:p w14:paraId="25B73156" w14:textId="5E28E5AC" w:rsidR="00D10B11" w:rsidRPr="00D10B11" w:rsidRDefault="00D10B11" w:rsidP="00D10B11">
      <w:pPr>
        <w:pStyle w:val="a0"/>
        <w:bidi/>
        <w:spacing w:line="216" w:lineRule="auto"/>
        <w:rPr>
          <w:rFonts w:ascii="mylotus" w:hAnsi="mylotus"/>
          <w:b/>
          <w:bCs/>
          <w:sz w:val="34"/>
          <w:szCs w:val="34"/>
          <w:rtl/>
        </w:rPr>
      </w:pPr>
      <w:r w:rsidRPr="00D10B11">
        <w:rPr>
          <w:rFonts w:ascii="mylotus" w:hAnsi="mylotus"/>
          <w:b/>
          <w:bCs/>
          <w:sz w:val="34"/>
          <w:szCs w:val="34"/>
          <w:rtl/>
        </w:rPr>
        <w:t xml:space="preserve">وقد أجاب الأعلام </w:t>
      </w:r>
      <w:r w:rsidRPr="00D10B11">
        <w:rPr>
          <w:rFonts w:ascii="mylotus" w:hAnsi="mylotus" w:hint="cs"/>
          <w:b/>
          <w:bCs/>
          <w:sz w:val="34"/>
          <w:szCs w:val="34"/>
          <w:rtl/>
        </w:rPr>
        <w:t>قدس سرهم</w:t>
      </w:r>
      <w:r w:rsidRPr="00D10B11">
        <w:rPr>
          <w:rFonts w:ascii="mylotus" w:hAnsi="mylotus"/>
          <w:b/>
          <w:bCs/>
          <w:sz w:val="34"/>
          <w:szCs w:val="34"/>
          <w:rtl/>
        </w:rPr>
        <w:t xml:space="preserve"> </w:t>
      </w:r>
      <w:r w:rsidRPr="00D10B11">
        <w:rPr>
          <w:rFonts w:ascii="mylotus" w:hAnsi="mylotus"/>
          <w:b/>
          <w:bCs/>
          <w:sz w:val="34"/>
          <w:szCs w:val="34"/>
          <w:rtl/>
        </w:rPr>
        <w:t>عن هذه الشبهة</w:t>
      </w:r>
      <w:r w:rsidRPr="00D10B11">
        <w:rPr>
          <w:rFonts w:ascii="mylotus" w:hAnsi="mylotus" w:hint="cs"/>
          <w:b/>
          <w:bCs/>
          <w:sz w:val="34"/>
          <w:szCs w:val="34"/>
          <w:rtl/>
        </w:rPr>
        <w:t xml:space="preserve"> </w:t>
      </w:r>
      <w:r w:rsidRPr="00D10B11">
        <w:rPr>
          <w:rFonts w:ascii="mylotus" w:hAnsi="mylotus"/>
          <w:b/>
          <w:bCs/>
          <w:sz w:val="34"/>
          <w:szCs w:val="34"/>
          <w:rtl/>
        </w:rPr>
        <w:t>بعدة وجوه</w:t>
      </w:r>
      <w:r>
        <w:rPr>
          <w:rFonts w:ascii="mylotus" w:hAnsi="mylotus"/>
          <w:b/>
          <w:bCs/>
          <w:sz w:val="34"/>
          <w:szCs w:val="34"/>
          <w:rtl/>
        </w:rPr>
        <w:t xml:space="preserve"> </w:t>
      </w:r>
      <w:r w:rsidRPr="00D10B11">
        <w:rPr>
          <w:rFonts w:ascii="mylotus" w:hAnsi="mylotus"/>
          <w:b/>
          <w:bCs/>
          <w:sz w:val="34"/>
          <w:szCs w:val="34"/>
          <w:rtl/>
        </w:rPr>
        <w:t>نذكر ثلاثة منها</w:t>
      </w:r>
      <w:r w:rsidRPr="00D10B11">
        <w:rPr>
          <w:rFonts w:ascii="mylotus" w:hAnsi="mylotus"/>
          <w:b/>
          <w:bCs/>
          <w:sz w:val="34"/>
          <w:szCs w:val="34"/>
          <w:rtl/>
        </w:rPr>
        <w:t>: للمحقق النائيني، وصاحب الكفاية، والسيد الشهيد في البحوث</w:t>
      </w:r>
      <w:r w:rsidRPr="00D10B11">
        <w:rPr>
          <w:rFonts w:ascii="mylotus" w:hAnsi="mylotus" w:hint="cs"/>
          <w:b/>
          <w:bCs/>
          <w:sz w:val="34"/>
          <w:szCs w:val="34"/>
          <w:rtl/>
        </w:rPr>
        <w:t>، وهي:</w:t>
      </w:r>
    </w:p>
    <w:p w14:paraId="351E3AFD" w14:textId="65DAE90C" w:rsidR="00D10B11" w:rsidRDefault="00D10B11" w:rsidP="00223968">
      <w:pPr>
        <w:pStyle w:val="a0"/>
        <w:bidi/>
        <w:spacing w:line="216" w:lineRule="auto"/>
        <w:rPr>
          <w:rFonts w:ascii="mylotus" w:hAnsi="mylotus" w:hint="cs"/>
          <w:sz w:val="34"/>
          <w:szCs w:val="34"/>
          <w:rtl/>
        </w:rPr>
      </w:pPr>
      <w:r w:rsidRPr="00D10B11">
        <w:rPr>
          <w:rFonts w:ascii="mylotus" w:hAnsi="mylotus"/>
          <w:b/>
          <w:bCs/>
          <w:sz w:val="34"/>
          <w:szCs w:val="34"/>
          <w:rtl/>
        </w:rPr>
        <w:lastRenderedPageBreak/>
        <w:t>الوجه الأول:</w:t>
      </w:r>
      <w:r w:rsidRPr="00D10B11">
        <w:rPr>
          <w:rFonts w:ascii="mylotus" w:hAnsi="mylotus"/>
          <w:sz w:val="34"/>
          <w:szCs w:val="34"/>
          <w:rtl/>
        </w:rPr>
        <w:t xml:space="preserve"> ما</w:t>
      </w:r>
      <w:r>
        <w:rPr>
          <w:rFonts w:ascii="mylotus" w:hAnsi="mylotus" w:hint="cs"/>
          <w:sz w:val="34"/>
          <w:szCs w:val="34"/>
          <w:rtl/>
        </w:rPr>
        <w:t xml:space="preserve"> </w:t>
      </w:r>
      <w:r w:rsidRPr="00D10B11">
        <w:rPr>
          <w:rFonts w:ascii="mylotus" w:hAnsi="mylotus"/>
          <w:sz w:val="34"/>
          <w:szCs w:val="34"/>
          <w:rtl/>
        </w:rPr>
        <w:t xml:space="preserve">ذكره المحقق النائيني </w:t>
      </w:r>
      <w:r>
        <w:rPr>
          <w:rFonts w:ascii="mylotus" w:hAnsi="mylotus"/>
          <w:sz w:val="34"/>
          <w:szCs w:val="34"/>
          <w:rtl/>
        </w:rPr>
        <w:t>[</w:t>
      </w:r>
      <w:r w:rsidRPr="00D10B11">
        <w:rPr>
          <w:rFonts w:ascii="mylotus" w:hAnsi="mylotus"/>
          <w:sz w:val="34"/>
          <w:szCs w:val="34"/>
          <w:rtl/>
        </w:rPr>
        <w:t>التقريرات الأصولية ج4 ص185] بتقريب</w:t>
      </w:r>
      <w:r>
        <w:rPr>
          <w:rFonts w:ascii="mylotus" w:hAnsi="mylotus"/>
          <w:sz w:val="34"/>
          <w:szCs w:val="34"/>
          <w:rtl/>
        </w:rPr>
        <w:t>:</w:t>
      </w:r>
      <w:r w:rsidRPr="00D10B11">
        <w:rPr>
          <w:rFonts w:ascii="mylotus" w:hAnsi="mylotus"/>
          <w:sz w:val="34"/>
          <w:szCs w:val="34"/>
          <w:rtl/>
        </w:rPr>
        <w:t xml:space="preserve"> أن مسأل</w:t>
      </w:r>
      <w:r>
        <w:rPr>
          <w:rFonts w:ascii="mylotus" w:hAnsi="mylotus"/>
          <w:sz w:val="34"/>
          <w:szCs w:val="34"/>
          <w:rtl/>
        </w:rPr>
        <w:t>ة ال</w:t>
      </w:r>
      <w:r>
        <w:rPr>
          <w:rFonts w:ascii="mylotus" w:hAnsi="mylotus" w:hint="cs"/>
          <w:sz w:val="34"/>
          <w:szCs w:val="34"/>
          <w:rtl/>
        </w:rPr>
        <w:t>ا</w:t>
      </w:r>
      <w:r w:rsidRPr="00D10B11">
        <w:rPr>
          <w:rFonts w:ascii="mylotus" w:hAnsi="mylotus"/>
          <w:sz w:val="34"/>
          <w:szCs w:val="34"/>
          <w:rtl/>
        </w:rPr>
        <w:t>جتماع هي ما</w:t>
      </w:r>
      <w:r>
        <w:rPr>
          <w:rFonts w:ascii="mylotus" w:hAnsi="mylotus" w:hint="cs"/>
          <w:sz w:val="34"/>
          <w:szCs w:val="34"/>
          <w:rtl/>
        </w:rPr>
        <w:t xml:space="preserve"> </w:t>
      </w:r>
      <w:r w:rsidRPr="00D10B11">
        <w:rPr>
          <w:rFonts w:ascii="mylotus" w:hAnsi="mylotus"/>
          <w:sz w:val="34"/>
          <w:szCs w:val="34"/>
          <w:rtl/>
        </w:rPr>
        <w:t>إذا تعلق الأمر بعنوان والنهي بعنوان واجتمع ا</w:t>
      </w:r>
      <w:r>
        <w:rPr>
          <w:rFonts w:ascii="mylotus" w:hAnsi="mylotus"/>
          <w:sz w:val="34"/>
          <w:szCs w:val="34"/>
          <w:rtl/>
        </w:rPr>
        <w:t xml:space="preserve">لعنوانان في واحد، بينما مسألة </w:t>
      </w:r>
      <w:r w:rsidRPr="00D10B11">
        <w:rPr>
          <w:rFonts w:ascii="mylotus" w:hAnsi="mylotus"/>
          <w:sz w:val="34"/>
          <w:szCs w:val="34"/>
          <w:rtl/>
        </w:rPr>
        <w:t>اقتضاء النهي</w:t>
      </w:r>
      <w:r>
        <w:rPr>
          <w:rFonts w:ascii="mylotus" w:hAnsi="mylotus"/>
          <w:sz w:val="34"/>
          <w:szCs w:val="34"/>
          <w:rtl/>
        </w:rPr>
        <w:t xml:space="preserve"> للفساد هي ما إذا تعلق النهي بن</w:t>
      </w:r>
      <w:r>
        <w:rPr>
          <w:rFonts w:ascii="mylotus" w:hAnsi="mylotus" w:hint="cs"/>
          <w:sz w:val="34"/>
          <w:szCs w:val="34"/>
          <w:rtl/>
        </w:rPr>
        <w:t>ف</w:t>
      </w:r>
      <w:r w:rsidRPr="00D10B11">
        <w:rPr>
          <w:rFonts w:ascii="mylotus" w:hAnsi="mylotus"/>
          <w:sz w:val="34"/>
          <w:szCs w:val="34"/>
          <w:rtl/>
        </w:rPr>
        <w:t>س ما</w:t>
      </w:r>
      <w:r>
        <w:rPr>
          <w:rFonts w:ascii="mylotus" w:hAnsi="mylotus" w:hint="cs"/>
          <w:sz w:val="34"/>
          <w:szCs w:val="34"/>
          <w:rtl/>
        </w:rPr>
        <w:t xml:space="preserve"> </w:t>
      </w:r>
      <w:r w:rsidRPr="00D10B11">
        <w:rPr>
          <w:rFonts w:ascii="mylotus" w:hAnsi="mylotus"/>
          <w:sz w:val="34"/>
          <w:szCs w:val="34"/>
          <w:rtl/>
        </w:rPr>
        <w:t>تعلق به ا</w:t>
      </w:r>
      <w:r>
        <w:rPr>
          <w:rFonts w:ascii="mylotus" w:hAnsi="mylotus"/>
          <w:sz w:val="34"/>
          <w:szCs w:val="34"/>
          <w:rtl/>
        </w:rPr>
        <w:t>لأمر، وإن كان بينهما عموم مطلق.</w:t>
      </w:r>
    </w:p>
    <w:p w14:paraId="59B7C357" w14:textId="77777777" w:rsidR="00223968" w:rsidRDefault="00D10B11" w:rsidP="00D10B11">
      <w:pPr>
        <w:pStyle w:val="a0"/>
        <w:bidi/>
        <w:spacing w:line="216" w:lineRule="auto"/>
        <w:rPr>
          <w:rFonts w:ascii="mylotus" w:hAnsi="mylotus" w:hint="cs"/>
          <w:sz w:val="34"/>
          <w:szCs w:val="34"/>
          <w:rtl/>
        </w:rPr>
      </w:pPr>
      <w:r w:rsidRPr="00D10B11">
        <w:rPr>
          <w:rFonts w:ascii="mylotus" w:hAnsi="mylotus"/>
          <w:sz w:val="34"/>
          <w:szCs w:val="34"/>
          <w:rtl/>
        </w:rPr>
        <w:t>لكن الفارق المذكور مجرد شرح لموضوع النزاع في المسألتين وليس فارقا</w:t>
      </w:r>
      <w:r>
        <w:rPr>
          <w:rFonts w:ascii="mylotus" w:hAnsi="mylotus" w:hint="cs"/>
          <w:sz w:val="34"/>
          <w:szCs w:val="34"/>
          <w:rtl/>
        </w:rPr>
        <w:t>ً</w:t>
      </w:r>
      <w:r w:rsidRPr="00D10B11">
        <w:rPr>
          <w:rFonts w:ascii="mylotus" w:hAnsi="mylotus"/>
          <w:sz w:val="34"/>
          <w:szCs w:val="34"/>
          <w:rtl/>
        </w:rPr>
        <w:t xml:space="preserve"> جوهريا</w:t>
      </w:r>
      <w:r>
        <w:rPr>
          <w:rFonts w:ascii="mylotus" w:hAnsi="mylotus" w:hint="cs"/>
          <w:sz w:val="34"/>
          <w:szCs w:val="34"/>
          <w:rtl/>
        </w:rPr>
        <w:t>ً</w:t>
      </w:r>
      <w:r>
        <w:rPr>
          <w:rFonts w:ascii="mylotus" w:hAnsi="mylotus"/>
          <w:sz w:val="34"/>
          <w:szCs w:val="34"/>
          <w:rtl/>
        </w:rPr>
        <w:t>،</w:t>
      </w:r>
      <w:r w:rsidRPr="00D10B11">
        <w:rPr>
          <w:rFonts w:ascii="mylotus" w:hAnsi="mylotus"/>
          <w:sz w:val="34"/>
          <w:szCs w:val="34"/>
          <w:rtl/>
        </w:rPr>
        <w:t xml:space="preserve"> يدفع الشبهة في وحدتهما لبا</w:t>
      </w:r>
      <w:r>
        <w:rPr>
          <w:rFonts w:ascii="mylotus" w:hAnsi="mylotus" w:hint="cs"/>
          <w:sz w:val="34"/>
          <w:szCs w:val="34"/>
          <w:rtl/>
        </w:rPr>
        <w:t>ً</w:t>
      </w:r>
      <w:r>
        <w:rPr>
          <w:rFonts w:ascii="mylotus" w:hAnsi="mylotus"/>
          <w:sz w:val="34"/>
          <w:szCs w:val="34"/>
          <w:rtl/>
        </w:rPr>
        <w:t xml:space="preserve">. </w:t>
      </w:r>
      <w:r w:rsidRPr="00D10B11">
        <w:rPr>
          <w:rFonts w:ascii="mylotus" w:hAnsi="mylotus"/>
          <w:sz w:val="34"/>
          <w:szCs w:val="34"/>
          <w:rtl/>
        </w:rPr>
        <w:t>والمذكور في [أجود التقريرات ج1 ص385] ما</w:t>
      </w:r>
      <w:r>
        <w:rPr>
          <w:rFonts w:ascii="mylotus" w:hAnsi="mylotus" w:hint="cs"/>
          <w:sz w:val="34"/>
          <w:szCs w:val="34"/>
          <w:rtl/>
        </w:rPr>
        <w:t xml:space="preserve"> </w:t>
      </w:r>
      <w:r w:rsidRPr="00D10B11">
        <w:rPr>
          <w:rFonts w:ascii="mylotus" w:hAnsi="mylotus"/>
          <w:sz w:val="34"/>
          <w:szCs w:val="34"/>
          <w:rtl/>
        </w:rPr>
        <w:t>حاصل</w:t>
      </w:r>
      <w:r>
        <w:rPr>
          <w:rFonts w:ascii="mylotus" w:hAnsi="mylotus"/>
          <w:sz w:val="34"/>
          <w:szCs w:val="34"/>
          <w:rtl/>
        </w:rPr>
        <w:t>ه: هو أن محط البحث في مسألة ال</w:t>
      </w:r>
      <w:r>
        <w:rPr>
          <w:rFonts w:ascii="mylotus" w:hAnsi="mylotus" w:hint="cs"/>
          <w:sz w:val="34"/>
          <w:szCs w:val="34"/>
          <w:rtl/>
        </w:rPr>
        <w:t>ا</w:t>
      </w:r>
      <w:r>
        <w:rPr>
          <w:rFonts w:ascii="mylotus" w:hAnsi="mylotus"/>
          <w:sz w:val="34"/>
          <w:szCs w:val="34"/>
          <w:rtl/>
        </w:rPr>
        <w:t>جتماع في (أن مورد ال</w:t>
      </w:r>
      <w:r>
        <w:rPr>
          <w:rFonts w:ascii="mylotus" w:hAnsi="mylotus" w:hint="cs"/>
          <w:sz w:val="34"/>
          <w:szCs w:val="34"/>
          <w:rtl/>
        </w:rPr>
        <w:t>ا</w:t>
      </w:r>
      <w:r w:rsidRPr="00D10B11">
        <w:rPr>
          <w:rFonts w:ascii="mylotus" w:hAnsi="mylotus"/>
          <w:sz w:val="34"/>
          <w:szCs w:val="34"/>
          <w:rtl/>
        </w:rPr>
        <w:t>جتماع هل هو هوية واحدة والتركيب بينهما اتحادي</w:t>
      </w:r>
      <w:r>
        <w:rPr>
          <w:rFonts w:ascii="mylotus" w:hAnsi="mylotus"/>
          <w:sz w:val="34"/>
          <w:szCs w:val="34"/>
          <w:rtl/>
        </w:rPr>
        <w:t>،</w:t>
      </w:r>
      <w:r w:rsidRPr="00D10B11">
        <w:rPr>
          <w:rFonts w:ascii="mylotus" w:hAnsi="mylotus"/>
          <w:sz w:val="34"/>
          <w:szCs w:val="34"/>
          <w:rtl/>
        </w:rPr>
        <w:t xml:space="preserve"> ليكون دليل الأمر والنهي متعارضين) أو </w:t>
      </w:r>
      <w:r>
        <w:rPr>
          <w:rFonts w:ascii="mylotus" w:hAnsi="mylotus"/>
          <w:sz w:val="34"/>
          <w:szCs w:val="34"/>
          <w:rtl/>
        </w:rPr>
        <w:t>(</w:t>
      </w:r>
      <w:r w:rsidRPr="00D10B11">
        <w:rPr>
          <w:rFonts w:ascii="mylotus" w:hAnsi="mylotus"/>
          <w:sz w:val="34"/>
          <w:szCs w:val="34"/>
          <w:rtl/>
        </w:rPr>
        <w:t xml:space="preserve">أنهما هويتان ليكون للتركيب بينهما </w:t>
      </w:r>
      <w:proofErr w:type="spellStart"/>
      <w:r w:rsidRPr="00D10B11">
        <w:rPr>
          <w:rFonts w:ascii="mylotus" w:hAnsi="mylotus"/>
          <w:sz w:val="34"/>
          <w:szCs w:val="34"/>
          <w:rtl/>
        </w:rPr>
        <w:t>انضماميا</w:t>
      </w:r>
      <w:r>
        <w:rPr>
          <w:rFonts w:ascii="mylotus" w:hAnsi="mylotus" w:hint="cs"/>
          <w:sz w:val="34"/>
          <w:szCs w:val="34"/>
          <w:rtl/>
        </w:rPr>
        <w:t>ً</w:t>
      </w:r>
      <w:proofErr w:type="spellEnd"/>
      <w:r>
        <w:rPr>
          <w:rFonts w:ascii="mylotus" w:hAnsi="mylotus"/>
          <w:sz w:val="34"/>
          <w:szCs w:val="34"/>
          <w:rtl/>
        </w:rPr>
        <w:t>،</w:t>
      </w:r>
      <w:r w:rsidRPr="00D10B11">
        <w:rPr>
          <w:rFonts w:ascii="mylotus" w:hAnsi="mylotus"/>
          <w:sz w:val="34"/>
          <w:szCs w:val="34"/>
          <w:rtl/>
        </w:rPr>
        <w:t xml:space="preserve"> ولا</w:t>
      </w:r>
      <w:r>
        <w:rPr>
          <w:rFonts w:ascii="mylotus" w:hAnsi="mylotus" w:hint="cs"/>
          <w:sz w:val="34"/>
          <w:szCs w:val="34"/>
          <w:rtl/>
        </w:rPr>
        <w:t xml:space="preserve"> </w:t>
      </w:r>
      <w:r w:rsidRPr="00D10B11">
        <w:rPr>
          <w:rFonts w:ascii="mylotus" w:hAnsi="mylotus"/>
          <w:sz w:val="34"/>
          <w:szCs w:val="34"/>
          <w:rtl/>
        </w:rPr>
        <w:t>تعارض بين دل</w:t>
      </w:r>
      <w:r>
        <w:rPr>
          <w:rFonts w:ascii="mylotus" w:hAnsi="mylotus"/>
          <w:sz w:val="34"/>
          <w:szCs w:val="34"/>
          <w:rtl/>
        </w:rPr>
        <w:t xml:space="preserve">يليهما)، بينما البحث في مسألة اقتضاء النهي للفساد </w:t>
      </w:r>
      <w:r w:rsidRPr="00D10B11">
        <w:rPr>
          <w:rFonts w:ascii="mylotus" w:hAnsi="mylotus"/>
          <w:sz w:val="34"/>
          <w:szCs w:val="34"/>
          <w:rtl/>
        </w:rPr>
        <w:t>في أن النهي بعد الفراغ عن تعلقه بعبادة أو معاملة هل يدل على فسادها</w:t>
      </w:r>
      <w:r>
        <w:rPr>
          <w:rFonts w:ascii="mylotus" w:hAnsi="mylotus"/>
          <w:sz w:val="34"/>
          <w:szCs w:val="34"/>
          <w:rtl/>
        </w:rPr>
        <w:t>).</w:t>
      </w:r>
    </w:p>
    <w:p w14:paraId="7FEC6A4F" w14:textId="79CDC3BB" w:rsidR="00D10B11" w:rsidRPr="00D10B11" w:rsidRDefault="00D10B11" w:rsidP="00D10B11">
      <w:pPr>
        <w:pStyle w:val="a0"/>
        <w:bidi/>
        <w:spacing w:line="216" w:lineRule="auto"/>
        <w:rPr>
          <w:rFonts w:ascii="mylotus" w:hAnsi="mylotus"/>
          <w:sz w:val="34"/>
          <w:szCs w:val="34"/>
          <w:rtl/>
        </w:rPr>
      </w:pPr>
      <w:r w:rsidRPr="00D10B11">
        <w:rPr>
          <w:rFonts w:ascii="mylotus" w:hAnsi="mylotus"/>
          <w:sz w:val="34"/>
          <w:szCs w:val="34"/>
          <w:rtl/>
        </w:rPr>
        <w:t xml:space="preserve">وقد أضاف في </w:t>
      </w:r>
      <w:r>
        <w:rPr>
          <w:rFonts w:ascii="mylotus" w:hAnsi="mylotus"/>
          <w:sz w:val="34"/>
          <w:szCs w:val="34"/>
          <w:rtl/>
        </w:rPr>
        <w:t>[</w:t>
      </w:r>
      <w:r w:rsidRPr="00D10B11">
        <w:rPr>
          <w:rFonts w:ascii="mylotus" w:hAnsi="mylotus"/>
          <w:sz w:val="34"/>
          <w:szCs w:val="34"/>
          <w:rtl/>
        </w:rPr>
        <w:t>فوائد الأصول ج2 ص454] ما</w:t>
      </w:r>
      <w:r>
        <w:rPr>
          <w:rFonts w:ascii="mylotus" w:hAnsi="mylotus" w:hint="cs"/>
          <w:sz w:val="34"/>
          <w:szCs w:val="34"/>
          <w:rtl/>
        </w:rPr>
        <w:t xml:space="preserve"> </w:t>
      </w:r>
      <w:r w:rsidRPr="00D10B11">
        <w:rPr>
          <w:rFonts w:ascii="mylotus" w:hAnsi="mylotus"/>
          <w:sz w:val="34"/>
          <w:szCs w:val="34"/>
          <w:rtl/>
        </w:rPr>
        <w:t>يسلط الضوء على نكتة الفرق بينهما بقوله</w:t>
      </w:r>
      <w:r>
        <w:rPr>
          <w:rFonts w:ascii="mylotus" w:hAnsi="mylotus" w:hint="cs"/>
          <w:sz w:val="34"/>
          <w:szCs w:val="34"/>
          <w:rtl/>
        </w:rPr>
        <w:t>:</w:t>
      </w:r>
      <w:r w:rsidRPr="00D10B11">
        <w:rPr>
          <w:rFonts w:ascii="mylotus" w:hAnsi="mylotus"/>
          <w:sz w:val="34"/>
          <w:szCs w:val="34"/>
          <w:rtl/>
        </w:rPr>
        <w:t xml:space="preserve"> </w:t>
      </w:r>
      <w:r>
        <w:rPr>
          <w:rFonts w:ascii="mylotus" w:hAnsi="mylotus"/>
          <w:b/>
          <w:bCs/>
          <w:sz w:val="34"/>
          <w:szCs w:val="34"/>
          <w:rtl/>
        </w:rPr>
        <w:t>(نعم بناء على القول بال</w:t>
      </w:r>
      <w:r>
        <w:rPr>
          <w:rFonts w:ascii="mylotus" w:hAnsi="mylotus" w:hint="cs"/>
          <w:b/>
          <w:bCs/>
          <w:sz w:val="34"/>
          <w:szCs w:val="34"/>
          <w:rtl/>
        </w:rPr>
        <w:t>ا</w:t>
      </w:r>
      <w:r w:rsidRPr="00D10B11">
        <w:rPr>
          <w:rFonts w:ascii="mylotus" w:hAnsi="mylotus"/>
          <w:b/>
          <w:bCs/>
          <w:sz w:val="34"/>
          <w:szCs w:val="34"/>
          <w:rtl/>
        </w:rPr>
        <w:t>متناع و</w:t>
      </w:r>
      <w:r>
        <w:rPr>
          <w:rFonts w:ascii="mylotus" w:hAnsi="mylotus"/>
          <w:b/>
          <w:bCs/>
          <w:sz w:val="34"/>
          <w:szCs w:val="34"/>
          <w:rtl/>
        </w:rPr>
        <w:t>تقديم جانب النهي تندرج مسألة ال</w:t>
      </w:r>
      <w:r>
        <w:rPr>
          <w:rFonts w:ascii="mylotus" w:hAnsi="mylotus" w:hint="cs"/>
          <w:b/>
          <w:bCs/>
          <w:sz w:val="34"/>
          <w:szCs w:val="34"/>
          <w:rtl/>
        </w:rPr>
        <w:t>ا</w:t>
      </w:r>
      <w:r w:rsidRPr="00D10B11">
        <w:rPr>
          <w:rFonts w:ascii="mylotus" w:hAnsi="mylotus"/>
          <w:b/>
          <w:bCs/>
          <w:sz w:val="34"/>
          <w:szCs w:val="34"/>
          <w:rtl/>
        </w:rPr>
        <w:t>جتماع في صغرى مسألة ال</w:t>
      </w:r>
      <w:r>
        <w:rPr>
          <w:rFonts w:ascii="mylotus" w:hAnsi="mylotus"/>
          <w:b/>
          <w:bCs/>
          <w:sz w:val="34"/>
          <w:szCs w:val="34"/>
          <w:rtl/>
        </w:rPr>
        <w:t>نهي عن العبادة وتكون من أفرادها</w:t>
      </w:r>
      <w:r w:rsidRPr="00D10B11">
        <w:rPr>
          <w:rFonts w:ascii="mylotus" w:hAnsi="mylotus"/>
          <w:b/>
          <w:bCs/>
          <w:sz w:val="34"/>
          <w:szCs w:val="34"/>
          <w:rtl/>
        </w:rPr>
        <w:t>)</w:t>
      </w:r>
      <w:r>
        <w:rPr>
          <w:rFonts w:ascii="mylotus" w:hAnsi="mylotus"/>
          <w:sz w:val="34"/>
          <w:szCs w:val="34"/>
          <w:rtl/>
        </w:rPr>
        <w:t xml:space="preserve">. وحاصله: إن مسألة </w:t>
      </w:r>
      <w:r>
        <w:rPr>
          <w:rFonts w:ascii="mylotus" w:hAnsi="mylotus" w:hint="cs"/>
          <w:sz w:val="34"/>
          <w:szCs w:val="34"/>
          <w:rtl/>
        </w:rPr>
        <w:t>(</w:t>
      </w:r>
      <w:r>
        <w:rPr>
          <w:rFonts w:ascii="mylotus" w:hAnsi="mylotus"/>
          <w:sz w:val="34"/>
          <w:szCs w:val="34"/>
          <w:rtl/>
        </w:rPr>
        <w:t>اجتماع الأمر والنهي</w:t>
      </w:r>
      <w:r>
        <w:rPr>
          <w:rFonts w:ascii="mylotus" w:hAnsi="mylotus" w:hint="cs"/>
          <w:sz w:val="34"/>
          <w:szCs w:val="34"/>
          <w:rtl/>
        </w:rPr>
        <w:t>)</w:t>
      </w:r>
      <w:r w:rsidRPr="00D10B11">
        <w:rPr>
          <w:rFonts w:ascii="mylotus" w:hAnsi="mylotus"/>
          <w:sz w:val="34"/>
          <w:szCs w:val="34"/>
          <w:rtl/>
        </w:rPr>
        <w:t xml:space="preserve"> تنقح الصغرى</w:t>
      </w:r>
      <w:r>
        <w:rPr>
          <w:rFonts w:ascii="mylotus" w:hAnsi="mylotus"/>
          <w:sz w:val="34"/>
          <w:szCs w:val="34"/>
          <w:rtl/>
        </w:rPr>
        <w:t xml:space="preserve"> </w:t>
      </w:r>
      <w:r w:rsidRPr="00D10B11">
        <w:rPr>
          <w:rFonts w:ascii="mylotus" w:hAnsi="mylotus"/>
          <w:sz w:val="34"/>
          <w:szCs w:val="34"/>
          <w:rtl/>
        </w:rPr>
        <w:t xml:space="preserve">بمثابة تنقيح الصغرى للكبرى في مسألة </w:t>
      </w:r>
      <w:r>
        <w:rPr>
          <w:rFonts w:ascii="mylotus" w:hAnsi="mylotus"/>
          <w:sz w:val="34"/>
          <w:szCs w:val="34"/>
          <w:rtl/>
        </w:rPr>
        <w:t>(</w:t>
      </w:r>
      <w:r w:rsidRPr="00D10B11">
        <w:rPr>
          <w:rFonts w:ascii="mylotus" w:hAnsi="mylotus"/>
          <w:sz w:val="34"/>
          <w:szCs w:val="34"/>
          <w:rtl/>
        </w:rPr>
        <w:t>اقتضاء النهي للفساد</w:t>
      </w:r>
      <w:r>
        <w:rPr>
          <w:rFonts w:ascii="mylotus" w:hAnsi="mylotus"/>
          <w:sz w:val="34"/>
          <w:szCs w:val="34"/>
          <w:rtl/>
        </w:rPr>
        <w:t>).</w:t>
      </w:r>
      <w:r w:rsidRPr="00D10B11">
        <w:rPr>
          <w:rFonts w:ascii="mylotus" w:hAnsi="mylotus"/>
          <w:sz w:val="34"/>
          <w:szCs w:val="34"/>
          <w:rtl/>
        </w:rPr>
        <w:t xml:space="preserve"> وذلك لأن البحث في مسألتنا هو في صغرى السراية، أي</w:t>
      </w:r>
      <w:r>
        <w:rPr>
          <w:rFonts w:ascii="mylotus" w:hAnsi="mylotus"/>
          <w:sz w:val="34"/>
          <w:szCs w:val="34"/>
          <w:rtl/>
        </w:rPr>
        <w:t>:</w:t>
      </w:r>
      <w:r w:rsidRPr="00D10B11">
        <w:rPr>
          <w:rFonts w:ascii="mylotus" w:hAnsi="mylotus"/>
          <w:sz w:val="34"/>
          <w:szCs w:val="34"/>
          <w:rtl/>
        </w:rPr>
        <w:t xml:space="preserve"> إذا اجتمع الأمر والنهي في واحد بالنظر العرفي مثلاً، فهل يسري النهي لمتعلق الأمر أم لا؟ فإن قلنا بأن التركيب </w:t>
      </w:r>
      <w:proofErr w:type="spellStart"/>
      <w:r w:rsidRPr="00D10B11">
        <w:rPr>
          <w:rFonts w:ascii="mylotus" w:hAnsi="mylotus"/>
          <w:sz w:val="34"/>
          <w:szCs w:val="34"/>
          <w:rtl/>
        </w:rPr>
        <w:t>انظمامي</w:t>
      </w:r>
      <w:proofErr w:type="spellEnd"/>
      <w:r w:rsidRPr="00D10B11">
        <w:rPr>
          <w:rFonts w:ascii="mylotus" w:hAnsi="mylotus"/>
          <w:sz w:val="34"/>
          <w:szCs w:val="34"/>
          <w:rtl/>
        </w:rPr>
        <w:t>،</w:t>
      </w:r>
      <w:r>
        <w:rPr>
          <w:rFonts w:ascii="mylotus" w:hAnsi="mylotus"/>
          <w:sz w:val="34"/>
          <w:szCs w:val="34"/>
          <w:rtl/>
        </w:rPr>
        <w:t xml:space="preserve"> </w:t>
      </w:r>
      <w:r w:rsidRPr="00D10B11">
        <w:rPr>
          <w:rFonts w:ascii="mylotus" w:hAnsi="mylotus"/>
          <w:sz w:val="34"/>
          <w:szCs w:val="34"/>
          <w:rtl/>
        </w:rPr>
        <w:t>كالقيام في الدار المغصوبة</w:t>
      </w:r>
      <w:r>
        <w:rPr>
          <w:rFonts w:ascii="mylotus" w:hAnsi="mylotus"/>
          <w:sz w:val="34"/>
          <w:szCs w:val="34"/>
          <w:rtl/>
        </w:rPr>
        <w:t xml:space="preserve"> </w:t>
      </w:r>
      <w:r w:rsidRPr="00D10B11">
        <w:rPr>
          <w:rFonts w:ascii="mylotus" w:hAnsi="mylotus"/>
          <w:sz w:val="34"/>
          <w:szCs w:val="34"/>
          <w:rtl/>
        </w:rPr>
        <w:t xml:space="preserve">فلا يسري النهي لمتعلق الأمر. وإن قلنا بأن التركيب اتحادي، كالوضوء بالماء المغصوب سرى النهي لمتعلق الأمر. وإذا سرى النهي لمتعلق الأمر، فإن قلنا </w:t>
      </w:r>
      <w:r>
        <w:rPr>
          <w:rFonts w:ascii="mylotus" w:hAnsi="mylotus"/>
          <w:sz w:val="34"/>
          <w:szCs w:val="34"/>
          <w:rtl/>
        </w:rPr>
        <w:t>بالجواز لم تصل النوبة لمسألة ال</w:t>
      </w:r>
      <w:r>
        <w:rPr>
          <w:rFonts w:ascii="mylotus" w:hAnsi="mylotus" w:hint="cs"/>
          <w:sz w:val="34"/>
          <w:szCs w:val="34"/>
          <w:rtl/>
        </w:rPr>
        <w:t>ا</w:t>
      </w:r>
      <w:r w:rsidRPr="00D10B11">
        <w:rPr>
          <w:rFonts w:ascii="mylotus" w:hAnsi="mylotus"/>
          <w:sz w:val="34"/>
          <w:szCs w:val="34"/>
          <w:rtl/>
        </w:rPr>
        <w:t>قتضاء</w:t>
      </w:r>
      <w:r>
        <w:rPr>
          <w:rFonts w:ascii="mylotus" w:hAnsi="mylotus"/>
          <w:sz w:val="34"/>
          <w:szCs w:val="34"/>
          <w:rtl/>
        </w:rPr>
        <w:t>،</w:t>
      </w:r>
      <w:r w:rsidRPr="00D10B11">
        <w:rPr>
          <w:rFonts w:ascii="mylotus" w:hAnsi="mylotus"/>
          <w:sz w:val="34"/>
          <w:szCs w:val="34"/>
          <w:rtl/>
        </w:rPr>
        <w:t xml:space="preserve"> وإن قلنا بالامتناع وأن النهي مقدم على الأمر؛ لأن النهي شمولي والأمر بدلي، والإطلاق الشمولي مقدم على الإطلاق البدلي، فالنهي عن الوضوء بالماء المغصوب فعلي، وإذا كان النهي فعلياً تنقحت الصغرى للمسألة الآتية وهي</w:t>
      </w:r>
      <w:r>
        <w:rPr>
          <w:rFonts w:ascii="mylotus" w:hAnsi="mylotus"/>
          <w:sz w:val="34"/>
          <w:szCs w:val="34"/>
          <w:rtl/>
        </w:rPr>
        <w:t>:</w:t>
      </w:r>
      <w:r w:rsidRPr="00D10B11">
        <w:rPr>
          <w:rFonts w:ascii="mylotus" w:hAnsi="mylotus"/>
          <w:sz w:val="34"/>
          <w:szCs w:val="34"/>
          <w:rtl/>
        </w:rPr>
        <w:t xml:space="preserve"> هل أن النهي في العبادة يقتضي الفساد أم لا؟ فهذا هو الفارق بين المسألتين</w:t>
      </w:r>
      <w:r w:rsidRPr="00D10B11">
        <w:rPr>
          <w:rFonts w:ascii="mylotus" w:hAnsi="mylotus"/>
          <w:sz w:val="34"/>
          <w:szCs w:val="34"/>
        </w:rPr>
        <w:t>.</w:t>
      </w:r>
    </w:p>
    <w:p w14:paraId="4B47BB1B" w14:textId="28F00B6E" w:rsidR="00D76964" w:rsidRDefault="00D10B11" w:rsidP="00D10B11">
      <w:pPr>
        <w:pStyle w:val="a0"/>
        <w:bidi/>
        <w:spacing w:line="216" w:lineRule="auto"/>
        <w:rPr>
          <w:rFonts w:ascii="mylotus" w:hAnsi="mylotus" w:hint="cs"/>
          <w:sz w:val="34"/>
          <w:szCs w:val="34"/>
          <w:rtl/>
        </w:rPr>
      </w:pPr>
      <w:r w:rsidRPr="00D10B11">
        <w:rPr>
          <w:rFonts w:ascii="mylotus" w:hAnsi="mylotus"/>
          <w:b/>
          <w:bCs/>
          <w:sz w:val="34"/>
          <w:szCs w:val="34"/>
          <w:rtl/>
        </w:rPr>
        <w:t>لكن ما ذكره المحقق أعلى الله مقامه محل تأمل،</w:t>
      </w:r>
      <w:r w:rsidRPr="00D10B11">
        <w:rPr>
          <w:rFonts w:ascii="mylotus" w:hAnsi="mylotus"/>
          <w:sz w:val="34"/>
          <w:szCs w:val="34"/>
          <w:rtl/>
        </w:rPr>
        <w:t xml:space="preserve"> والسر في ذلك: أنه سواء قيل بالامتناع أو قيل بالجواز، فإنه يصح البحث في أن النهي يقتضي الفساد أم لا</w:t>
      </w:r>
      <w:r>
        <w:rPr>
          <w:rFonts w:ascii="mylotus" w:hAnsi="mylotus"/>
          <w:sz w:val="34"/>
          <w:szCs w:val="34"/>
          <w:rtl/>
        </w:rPr>
        <w:t>؟،</w:t>
      </w:r>
      <w:r w:rsidRPr="00D10B11">
        <w:rPr>
          <w:rFonts w:ascii="mylotus" w:hAnsi="mylotus"/>
          <w:sz w:val="34"/>
          <w:szCs w:val="34"/>
          <w:rtl/>
        </w:rPr>
        <w:t xml:space="preserve"> فلا تفرع لتلك المسألة على هذه المسألة، والوجه في ذلك</w:t>
      </w:r>
      <w:r>
        <w:rPr>
          <w:rFonts w:ascii="mylotus" w:hAnsi="mylotus"/>
          <w:sz w:val="34"/>
          <w:szCs w:val="34"/>
          <w:rtl/>
        </w:rPr>
        <w:t>:</w:t>
      </w:r>
      <w:r w:rsidRPr="00D10B11">
        <w:rPr>
          <w:rFonts w:ascii="mylotus" w:hAnsi="mylotus"/>
          <w:sz w:val="34"/>
          <w:szCs w:val="34"/>
          <w:rtl/>
        </w:rPr>
        <w:t xml:space="preserve"> أن الوضوء بالماء الم</w:t>
      </w:r>
      <w:r>
        <w:rPr>
          <w:rFonts w:ascii="mylotus" w:hAnsi="mylotus"/>
          <w:sz w:val="34"/>
          <w:szCs w:val="34"/>
          <w:rtl/>
        </w:rPr>
        <w:t xml:space="preserve">غصوب مثلا إن كان من التركيب </w:t>
      </w:r>
      <w:proofErr w:type="spellStart"/>
      <w:r>
        <w:rPr>
          <w:rFonts w:ascii="mylotus" w:hAnsi="mylotus"/>
          <w:sz w:val="34"/>
          <w:szCs w:val="34"/>
          <w:rtl/>
        </w:rPr>
        <w:t>ال</w:t>
      </w:r>
      <w:r>
        <w:rPr>
          <w:rFonts w:ascii="mylotus" w:hAnsi="mylotus" w:hint="cs"/>
          <w:sz w:val="34"/>
          <w:szCs w:val="34"/>
          <w:rtl/>
        </w:rPr>
        <w:t>ا</w:t>
      </w:r>
      <w:r w:rsidRPr="00D10B11">
        <w:rPr>
          <w:rFonts w:ascii="mylotus" w:hAnsi="mylotus"/>
          <w:sz w:val="34"/>
          <w:szCs w:val="34"/>
          <w:rtl/>
        </w:rPr>
        <w:t>نضمامي</w:t>
      </w:r>
      <w:proofErr w:type="spellEnd"/>
      <w:r w:rsidRPr="00D10B11">
        <w:rPr>
          <w:rFonts w:ascii="mylotus" w:hAnsi="mylotus"/>
          <w:sz w:val="34"/>
          <w:szCs w:val="34"/>
          <w:rtl/>
        </w:rPr>
        <w:t xml:space="preserve"> فلا</w:t>
      </w:r>
      <w:r>
        <w:rPr>
          <w:rFonts w:ascii="mylotus" w:hAnsi="mylotus" w:hint="cs"/>
          <w:sz w:val="34"/>
          <w:szCs w:val="34"/>
          <w:rtl/>
        </w:rPr>
        <w:t xml:space="preserve"> </w:t>
      </w:r>
      <w:r>
        <w:rPr>
          <w:rFonts w:ascii="mylotus" w:hAnsi="mylotus"/>
          <w:sz w:val="34"/>
          <w:szCs w:val="34"/>
          <w:rtl/>
        </w:rPr>
        <w:t>ب</w:t>
      </w:r>
      <w:r>
        <w:rPr>
          <w:rFonts w:ascii="mylotus" w:hAnsi="mylotus" w:hint="cs"/>
          <w:sz w:val="34"/>
          <w:szCs w:val="34"/>
          <w:rtl/>
        </w:rPr>
        <w:t>أ</w:t>
      </w:r>
      <w:r w:rsidRPr="00D10B11">
        <w:rPr>
          <w:rFonts w:ascii="mylotus" w:hAnsi="mylotus"/>
          <w:sz w:val="34"/>
          <w:szCs w:val="34"/>
          <w:rtl/>
        </w:rPr>
        <w:t>س باجتماع الأمر والنهي</w:t>
      </w:r>
      <w:r>
        <w:rPr>
          <w:rFonts w:ascii="mylotus" w:hAnsi="mylotus"/>
          <w:sz w:val="34"/>
          <w:szCs w:val="34"/>
          <w:rtl/>
        </w:rPr>
        <w:t>،</w:t>
      </w:r>
      <w:r w:rsidRPr="00D10B11">
        <w:rPr>
          <w:rFonts w:ascii="mylotus" w:hAnsi="mylotus"/>
          <w:sz w:val="34"/>
          <w:szCs w:val="34"/>
          <w:rtl/>
        </w:rPr>
        <w:t xml:space="preserve"> ولا</w:t>
      </w:r>
      <w:r>
        <w:rPr>
          <w:rFonts w:ascii="mylotus" w:hAnsi="mylotus" w:hint="cs"/>
          <w:sz w:val="34"/>
          <w:szCs w:val="34"/>
          <w:rtl/>
        </w:rPr>
        <w:t xml:space="preserve"> </w:t>
      </w:r>
      <w:r w:rsidRPr="00D10B11">
        <w:rPr>
          <w:rFonts w:ascii="mylotus" w:hAnsi="mylotus"/>
          <w:sz w:val="34"/>
          <w:szCs w:val="34"/>
          <w:rtl/>
        </w:rPr>
        <w:t>دلالة للنهي على</w:t>
      </w:r>
      <w:r>
        <w:rPr>
          <w:rFonts w:ascii="mylotus" w:hAnsi="mylotus"/>
          <w:sz w:val="34"/>
          <w:szCs w:val="34"/>
          <w:rtl/>
        </w:rPr>
        <w:t xml:space="preserve"> الفساد. وإن كان من التركيب ال</w:t>
      </w:r>
      <w:r>
        <w:rPr>
          <w:rFonts w:ascii="mylotus" w:hAnsi="mylotus" w:hint="cs"/>
          <w:sz w:val="34"/>
          <w:szCs w:val="34"/>
          <w:rtl/>
        </w:rPr>
        <w:t>ا</w:t>
      </w:r>
      <w:r w:rsidRPr="00D10B11">
        <w:rPr>
          <w:rFonts w:ascii="mylotus" w:hAnsi="mylotus"/>
          <w:sz w:val="34"/>
          <w:szCs w:val="34"/>
          <w:rtl/>
        </w:rPr>
        <w:t>تحادي</w:t>
      </w:r>
      <w:r>
        <w:rPr>
          <w:rFonts w:ascii="mylotus" w:hAnsi="mylotus"/>
          <w:sz w:val="34"/>
          <w:szCs w:val="34"/>
          <w:rtl/>
        </w:rPr>
        <w:t>:</w:t>
      </w:r>
      <w:r w:rsidRPr="00D10B11">
        <w:rPr>
          <w:rFonts w:ascii="mylotus" w:hAnsi="mylotus"/>
          <w:sz w:val="34"/>
          <w:szCs w:val="34"/>
          <w:rtl/>
        </w:rPr>
        <w:t xml:space="preserve"> فإن قلنا بالامتناع وتعارض الأمر والنهي</w:t>
      </w:r>
      <w:r>
        <w:rPr>
          <w:rFonts w:ascii="mylotus" w:hAnsi="mylotus"/>
          <w:sz w:val="34"/>
          <w:szCs w:val="34"/>
          <w:rtl/>
        </w:rPr>
        <w:t>،</w:t>
      </w:r>
      <w:r w:rsidRPr="00D10B11">
        <w:rPr>
          <w:rFonts w:ascii="mylotus" w:hAnsi="mylotus"/>
          <w:sz w:val="34"/>
          <w:szCs w:val="34"/>
          <w:rtl/>
        </w:rPr>
        <w:t xml:space="preserve"> وتقديم النهي على الأمر فالنهي فعلي، والنهي الفعلي يقتضي الفساد</w:t>
      </w:r>
      <w:r>
        <w:rPr>
          <w:rFonts w:ascii="mylotus" w:hAnsi="mylotus"/>
          <w:sz w:val="34"/>
          <w:szCs w:val="34"/>
          <w:rtl/>
        </w:rPr>
        <w:t>،</w:t>
      </w:r>
      <w:r w:rsidRPr="00D10B11">
        <w:rPr>
          <w:rFonts w:ascii="mylotus" w:hAnsi="mylotus"/>
          <w:sz w:val="34"/>
          <w:szCs w:val="34"/>
          <w:rtl/>
        </w:rPr>
        <w:t xml:space="preserve"> وإن قلنا </w:t>
      </w:r>
      <w:r w:rsidRPr="00D10B11">
        <w:rPr>
          <w:rFonts w:ascii="mylotus" w:hAnsi="mylotus"/>
          <w:sz w:val="34"/>
          <w:szCs w:val="34"/>
          <w:rtl/>
        </w:rPr>
        <w:lastRenderedPageBreak/>
        <w:t>بالجواز فالنهي فعلي أيضا</w:t>
      </w:r>
      <w:r>
        <w:rPr>
          <w:rFonts w:ascii="mylotus" w:hAnsi="mylotus" w:hint="cs"/>
          <w:sz w:val="34"/>
          <w:szCs w:val="34"/>
          <w:rtl/>
        </w:rPr>
        <w:t>ً</w:t>
      </w:r>
      <w:r>
        <w:rPr>
          <w:rFonts w:ascii="mylotus" w:hAnsi="mylotus"/>
          <w:sz w:val="34"/>
          <w:szCs w:val="34"/>
          <w:rtl/>
        </w:rPr>
        <w:t>،</w:t>
      </w:r>
      <w:r w:rsidRPr="00D10B11">
        <w:rPr>
          <w:rFonts w:ascii="mylotus" w:hAnsi="mylotus"/>
          <w:sz w:val="34"/>
          <w:szCs w:val="34"/>
          <w:rtl/>
        </w:rPr>
        <w:t xml:space="preserve"> وحيث إن التركيب اتحادي فيرد الإشكال</w:t>
      </w:r>
      <w:r>
        <w:rPr>
          <w:rFonts w:ascii="mylotus" w:hAnsi="mylotus"/>
          <w:sz w:val="34"/>
          <w:szCs w:val="34"/>
          <w:rtl/>
        </w:rPr>
        <w:t>:</w:t>
      </w:r>
      <w:r w:rsidRPr="00D10B11">
        <w:rPr>
          <w:rFonts w:ascii="mylotus" w:hAnsi="mylotus"/>
          <w:sz w:val="34"/>
          <w:szCs w:val="34"/>
          <w:rtl/>
        </w:rPr>
        <w:t xml:space="preserve"> هل ما هو مبغوض صالح لإمكان التقرب به أم لا؟ لأن الوضوء بالماء المغصوب وإن كان مجمعاً للأمر والنهي بناء على القول بالجواز، إلا أنه بالنتيجة مبغوض لكون الفعل واحدا</w:t>
      </w:r>
      <w:r>
        <w:rPr>
          <w:rFonts w:ascii="mylotus" w:hAnsi="mylotus" w:hint="cs"/>
          <w:sz w:val="34"/>
          <w:szCs w:val="34"/>
          <w:rtl/>
        </w:rPr>
        <w:t>ً</w:t>
      </w:r>
      <w:r w:rsidRPr="00D10B11">
        <w:rPr>
          <w:rFonts w:ascii="mylotus" w:hAnsi="mylotus"/>
          <w:sz w:val="34"/>
          <w:szCs w:val="34"/>
          <w:rtl/>
        </w:rPr>
        <w:t xml:space="preserve"> حقيقة</w:t>
      </w:r>
      <w:r>
        <w:rPr>
          <w:rFonts w:ascii="mylotus" w:hAnsi="mylotus"/>
          <w:sz w:val="34"/>
          <w:szCs w:val="34"/>
          <w:rtl/>
        </w:rPr>
        <w:t>،</w:t>
      </w:r>
      <w:r w:rsidRPr="00D10B11">
        <w:rPr>
          <w:rFonts w:ascii="mylotus" w:hAnsi="mylotus"/>
          <w:sz w:val="34"/>
          <w:szCs w:val="34"/>
          <w:rtl/>
        </w:rPr>
        <w:t xml:space="preserve"> وما هو مبغوض هل هو صالح </w:t>
      </w:r>
      <w:proofErr w:type="spellStart"/>
      <w:r w:rsidRPr="00D10B11">
        <w:rPr>
          <w:rFonts w:ascii="mylotus" w:hAnsi="mylotus"/>
          <w:sz w:val="34"/>
          <w:szCs w:val="34"/>
          <w:rtl/>
        </w:rPr>
        <w:t>للمقربية</w:t>
      </w:r>
      <w:proofErr w:type="spellEnd"/>
      <w:r w:rsidRPr="00D10B11">
        <w:rPr>
          <w:rFonts w:ascii="mylotus" w:hAnsi="mylotus"/>
          <w:sz w:val="34"/>
          <w:szCs w:val="34"/>
          <w:rtl/>
        </w:rPr>
        <w:t xml:space="preserve"> أو لقصد التقرب أم لا؟ وهذا من موارد مسألة</w:t>
      </w:r>
      <w:r>
        <w:rPr>
          <w:rFonts w:ascii="mylotus" w:hAnsi="mylotus"/>
          <w:sz w:val="34"/>
          <w:szCs w:val="34"/>
          <w:rtl/>
        </w:rPr>
        <w:t xml:space="preserve"> </w:t>
      </w:r>
      <w:r w:rsidRPr="00D10B11">
        <w:rPr>
          <w:rFonts w:ascii="mylotus" w:hAnsi="mylotus"/>
          <w:sz w:val="34"/>
          <w:szCs w:val="34"/>
          <w:rtl/>
        </w:rPr>
        <w:t>(هل أن النهي يقتضي الفساد). فكيف تكون هذه المسألة منقحة لصغرى تلك المسألة؟ مع أنه سواء قيل</w:t>
      </w:r>
      <w:r>
        <w:rPr>
          <w:rFonts w:ascii="mylotus" w:hAnsi="mylotus"/>
          <w:sz w:val="34"/>
          <w:szCs w:val="34"/>
          <w:rtl/>
        </w:rPr>
        <w:t xml:space="preserve"> </w:t>
      </w:r>
      <w:r w:rsidRPr="00D10B11">
        <w:rPr>
          <w:rFonts w:ascii="mylotus" w:hAnsi="mylotus"/>
          <w:sz w:val="34"/>
          <w:szCs w:val="34"/>
          <w:rtl/>
        </w:rPr>
        <w:t>بالجواز أو</w:t>
      </w:r>
      <w:r>
        <w:rPr>
          <w:rFonts w:ascii="mylotus" w:hAnsi="mylotus"/>
          <w:sz w:val="34"/>
          <w:szCs w:val="34"/>
          <w:rtl/>
        </w:rPr>
        <w:t xml:space="preserve"> </w:t>
      </w:r>
      <w:r w:rsidRPr="00D10B11">
        <w:rPr>
          <w:rFonts w:ascii="mylotus" w:hAnsi="mylotus"/>
          <w:sz w:val="34"/>
          <w:szCs w:val="34"/>
          <w:rtl/>
        </w:rPr>
        <w:t>بالامتناع فسوف يقع البحث في تلك المسألة</w:t>
      </w:r>
      <w:r>
        <w:rPr>
          <w:rFonts w:ascii="mylotus" w:hAnsi="mylotus" w:hint="cs"/>
          <w:sz w:val="34"/>
          <w:szCs w:val="34"/>
          <w:rtl/>
        </w:rPr>
        <w:t xml:space="preserve"> </w:t>
      </w:r>
      <w:r>
        <w:rPr>
          <w:rFonts w:ascii="mylotus" w:hAnsi="mylotus"/>
          <w:sz w:val="34"/>
          <w:szCs w:val="34"/>
          <w:rtl/>
        </w:rPr>
        <w:t>(</w:t>
      </w:r>
      <w:r w:rsidRPr="00D10B11">
        <w:rPr>
          <w:rFonts w:ascii="mylotus" w:hAnsi="mylotus"/>
          <w:sz w:val="34"/>
          <w:szCs w:val="34"/>
          <w:rtl/>
        </w:rPr>
        <w:t>هل أن النهي في العبادة يقتضي الفساد أم لا)</w:t>
      </w:r>
      <w:r>
        <w:rPr>
          <w:rFonts w:ascii="mylotus" w:hAnsi="mylotus"/>
          <w:sz w:val="34"/>
          <w:szCs w:val="34"/>
          <w:rtl/>
        </w:rPr>
        <w:t xml:space="preserve"> </w:t>
      </w:r>
      <w:r w:rsidRPr="00D10B11">
        <w:rPr>
          <w:rFonts w:ascii="mylotus" w:hAnsi="mylotus"/>
          <w:sz w:val="34"/>
          <w:szCs w:val="34"/>
          <w:rtl/>
        </w:rPr>
        <w:t>فلا طولية بين المسألت</w:t>
      </w:r>
      <w:r>
        <w:rPr>
          <w:rFonts w:ascii="mylotus" w:hAnsi="mylotus"/>
          <w:sz w:val="34"/>
          <w:szCs w:val="34"/>
          <w:rtl/>
        </w:rPr>
        <w:t>ين، ولا تفريع لمسألة على أخرى</w:t>
      </w:r>
      <w:r>
        <w:rPr>
          <w:rFonts w:ascii="mylotus" w:hAnsi="mylotus" w:hint="cs"/>
          <w:sz w:val="34"/>
          <w:szCs w:val="34"/>
          <w:rtl/>
        </w:rPr>
        <w:t>.</w:t>
      </w:r>
    </w:p>
    <w:p w14:paraId="223589DE" w14:textId="77777777" w:rsidR="00D10B11" w:rsidRDefault="00D10B11" w:rsidP="00D10B11">
      <w:pPr>
        <w:pStyle w:val="a0"/>
        <w:bidi/>
        <w:spacing w:line="216" w:lineRule="auto"/>
        <w:rPr>
          <w:rFonts w:ascii="mylotus" w:hAnsi="mylotus"/>
          <w:sz w:val="34"/>
          <w:szCs w:val="34"/>
          <w:rtl/>
        </w:rPr>
      </w:pPr>
    </w:p>
    <w:p w14:paraId="2D24CFF0" w14:textId="19E1C6A4" w:rsidR="001F034F" w:rsidRPr="005F7776" w:rsidRDefault="00E706A4" w:rsidP="00D76964">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9CD463" w14:textId="77777777" w:rsidR="00645E7B" w:rsidRDefault="00645E7B" w:rsidP="00A5027D">
      <w:pPr>
        <w:spacing w:line="240" w:lineRule="auto"/>
      </w:pPr>
      <w:r>
        <w:separator/>
      </w:r>
    </w:p>
  </w:endnote>
  <w:endnote w:type="continuationSeparator" w:id="0">
    <w:p w14:paraId="72FF3C59" w14:textId="77777777" w:rsidR="00645E7B" w:rsidRDefault="00645E7B"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AC7AFE" w:rsidRPr="00AC7AFE">
          <w:rPr>
            <w:rFonts w:ascii="mylotus" w:hAnsi="mylotus" w:cs="mylotus"/>
            <w:noProof/>
            <w:color w:val="FF0000"/>
            <w:sz w:val="24"/>
            <w:szCs w:val="24"/>
            <w:rtl/>
            <w:lang w:val="ar-SA"/>
          </w:rPr>
          <w:t>5</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836F7E" w14:textId="77777777" w:rsidR="00645E7B" w:rsidRDefault="00645E7B" w:rsidP="00A5027D">
      <w:pPr>
        <w:spacing w:line="240" w:lineRule="auto"/>
      </w:pPr>
      <w:r>
        <w:separator/>
      </w:r>
    </w:p>
  </w:footnote>
  <w:footnote w:type="continuationSeparator" w:id="0">
    <w:p w14:paraId="4EE2BF93" w14:textId="77777777" w:rsidR="00645E7B" w:rsidRDefault="00645E7B"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0308A8E7" w:rsidR="00B07F43" w:rsidRPr="005F7776" w:rsidRDefault="00B07F43" w:rsidP="00F914C0">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F914C0">
      <w:rPr>
        <w:rFonts w:ascii="mylotus" w:hAnsi="mylotus" w:cs="mylotus" w:hint="cs"/>
        <w:color w:val="FF0000"/>
        <w:sz w:val="26"/>
        <w:szCs w:val="26"/>
        <w:rtl/>
      </w:rPr>
      <w:t>20</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F914C0">
      <w:rPr>
        <w:rFonts w:ascii="mylotus" w:hAnsi="mylotus" w:cs="mylotus" w:hint="cs"/>
        <w:color w:val="FF0000"/>
        <w:sz w:val="26"/>
        <w:szCs w:val="26"/>
        <w:rtl/>
      </w:rPr>
      <w:t>أحد</w:t>
    </w:r>
    <w:r w:rsidRPr="005F7776">
      <w:rPr>
        <w:rFonts w:ascii="mylotus" w:hAnsi="mylotus" w:cs="mylotus"/>
        <w:color w:val="FF0000"/>
        <w:sz w:val="26"/>
        <w:szCs w:val="26"/>
        <w:rtl/>
      </w:rPr>
      <w:t xml:space="preserve"> </w:t>
    </w:r>
    <w:r w:rsidR="00F914C0">
      <w:rPr>
        <w:rFonts w:ascii="mylotus" w:hAnsi="mylotus" w:cs="mylotus" w:hint="cs"/>
        <w:color w:val="FF0000"/>
        <w:sz w:val="26"/>
        <w:szCs w:val="26"/>
        <w:rtl/>
      </w:rPr>
      <w:t>29</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223968">
      <w:rPr>
        <w:rFonts w:ascii="mylotus" w:hAnsi="mylotus" w:cs="mylotus" w:hint="cs"/>
        <w:color w:val="FF0000"/>
        <w:sz w:val="26"/>
        <w:szCs w:val="26"/>
        <w:rtl/>
      </w:rPr>
      <w:t xml:space="preserve">                                                        </w:t>
    </w:r>
    <w:r w:rsidR="00D10B11">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A66BF"/>
    <w:rsid w:val="000C2631"/>
    <w:rsid w:val="000F2D22"/>
    <w:rsid w:val="00102391"/>
    <w:rsid w:val="00104288"/>
    <w:rsid w:val="00111AE8"/>
    <w:rsid w:val="00116171"/>
    <w:rsid w:val="00126819"/>
    <w:rsid w:val="001700E2"/>
    <w:rsid w:val="0018506F"/>
    <w:rsid w:val="00190CDF"/>
    <w:rsid w:val="001B36AE"/>
    <w:rsid w:val="001B7AAB"/>
    <w:rsid w:val="001D2C21"/>
    <w:rsid w:val="001D40F0"/>
    <w:rsid w:val="001E7758"/>
    <w:rsid w:val="001F034F"/>
    <w:rsid w:val="001F6237"/>
    <w:rsid w:val="002220AA"/>
    <w:rsid w:val="00223968"/>
    <w:rsid w:val="00225C1C"/>
    <w:rsid w:val="002339F1"/>
    <w:rsid w:val="002438AD"/>
    <w:rsid w:val="0024499D"/>
    <w:rsid w:val="002530E6"/>
    <w:rsid w:val="00257474"/>
    <w:rsid w:val="00294D72"/>
    <w:rsid w:val="002951F9"/>
    <w:rsid w:val="002A79FA"/>
    <w:rsid w:val="002B4E62"/>
    <w:rsid w:val="002C3704"/>
    <w:rsid w:val="002D0D9E"/>
    <w:rsid w:val="002D2D63"/>
    <w:rsid w:val="002D4AF5"/>
    <w:rsid w:val="002F1501"/>
    <w:rsid w:val="00316628"/>
    <w:rsid w:val="003228E8"/>
    <w:rsid w:val="00331615"/>
    <w:rsid w:val="00341791"/>
    <w:rsid w:val="0035443E"/>
    <w:rsid w:val="0035715B"/>
    <w:rsid w:val="003A0D7F"/>
    <w:rsid w:val="003A4C77"/>
    <w:rsid w:val="003C27B3"/>
    <w:rsid w:val="003C5C22"/>
    <w:rsid w:val="003E28FC"/>
    <w:rsid w:val="003F0EA8"/>
    <w:rsid w:val="003F635C"/>
    <w:rsid w:val="00402155"/>
    <w:rsid w:val="00416FF8"/>
    <w:rsid w:val="00417B1F"/>
    <w:rsid w:val="00426274"/>
    <w:rsid w:val="00434EF0"/>
    <w:rsid w:val="004417B4"/>
    <w:rsid w:val="00444116"/>
    <w:rsid w:val="00463804"/>
    <w:rsid w:val="004713E0"/>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5E7B"/>
    <w:rsid w:val="00646A5D"/>
    <w:rsid w:val="00652CA2"/>
    <w:rsid w:val="0067710E"/>
    <w:rsid w:val="00682BFD"/>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37488"/>
    <w:rsid w:val="00740CF8"/>
    <w:rsid w:val="00753B14"/>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95F8C"/>
    <w:rsid w:val="00AB0BF9"/>
    <w:rsid w:val="00AB2506"/>
    <w:rsid w:val="00AB4593"/>
    <w:rsid w:val="00AC0335"/>
    <w:rsid w:val="00AC2737"/>
    <w:rsid w:val="00AC7AFE"/>
    <w:rsid w:val="00AD187B"/>
    <w:rsid w:val="00AF658D"/>
    <w:rsid w:val="00B05107"/>
    <w:rsid w:val="00B05627"/>
    <w:rsid w:val="00B07F43"/>
    <w:rsid w:val="00B148FC"/>
    <w:rsid w:val="00B15C12"/>
    <w:rsid w:val="00B16172"/>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0B11"/>
    <w:rsid w:val="00D12BC7"/>
    <w:rsid w:val="00D13826"/>
    <w:rsid w:val="00D31E52"/>
    <w:rsid w:val="00D50ECC"/>
    <w:rsid w:val="00D52BD6"/>
    <w:rsid w:val="00D76964"/>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914C0"/>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9CD63-2DDC-463D-91E6-718EA9434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456</TotalTime>
  <Pages>5</Pages>
  <Words>1272</Words>
  <Characters>7256</Characters>
  <Application>Microsoft Office Word</Application>
  <DocSecurity>0</DocSecurity>
  <Lines>60</Lines>
  <Paragraphs>17</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8511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5</cp:revision>
  <cp:lastPrinted>2026-10-11T16:58:00Z</cp:lastPrinted>
  <dcterms:created xsi:type="dcterms:W3CDTF">2026-10-11T09:24:00Z</dcterms:created>
  <dcterms:modified xsi:type="dcterms:W3CDTF">2026-10-11T16:58:00Z</dcterms:modified>
</cp:coreProperties>
</file>