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3B4441FB" w14:textId="77777777" w:rsidR="00654323"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44A41F1D" w14:textId="77777777" w:rsidR="00654323" w:rsidRDefault="00654323" w:rsidP="007467B1">
      <w:pPr>
        <w:pStyle w:val="a0"/>
        <w:bidi/>
        <w:spacing w:line="216" w:lineRule="auto"/>
        <w:rPr>
          <w:rFonts w:ascii="mylotus" w:hAnsi="mylotus"/>
          <w:sz w:val="34"/>
          <w:szCs w:val="34"/>
        </w:rPr>
      </w:pPr>
    </w:p>
    <w:p w14:paraId="44277584" w14:textId="49277788" w:rsidR="007467B1" w:rsidRPr="007467B1" w:rsidRDefault="007467B1" w:rsidP="007467B1">
      <w:pPr>
        <w:pStyle w:val="a0"/>
        <w:bidi/>
        <w:spacing w:line="216" w:lineRule="auto"/>
        <w:rPr>
          <w:rFonts w:ascii="mylotus" w:hAnsi="mylotus"/>
          <w:sz w:val="34"/>
          <w:szCs w:val="34"/>
          <w:rtl/>
        </w:rPr>
      </w:pPr>
      <w:r w:rsidRPr="007467B1">
        <w:rPr>
          <w:rFonts w:ascii="mylotus" w:hAnsi="mylotus"/>
          <w:b/>
          <w:bCs/>
          <w:sz w:val="34"/>
          <w:szCs w:val="34"/>
          <w:rtl/>
        </w:rPr>
        <w:t>الوجه الثاني في الفارق بين مسألتي اجتماع الأمر والنهي ومسألة اقتضاء النهي للفساد</w:t>
      </w:r>
      <w:r w:rsidRPr="007467B1">
        <w:rPr>
          <w:rFonts w:ascii="mylotus" w:hAnsi="mylotus"/>
          <w:b/>
          <w:bCs/>
          <w:sz w:val="34"/>
          <w:szCs w:val="34"/>
          <w:rtl/>
        </w:rPr>
        <w:t>:</w:t>
      </w:r>
      <w:r>
        <w:rPr>
          <w:rFonts w:ascii="mylotus" w:hAnsi="mylotus"/>
          <w:sz w:val="34"/>
          <w:szCs w:val="34"/>
          <w:rtl/>
        </w:rPr>
        <w:t xml:space="preserve"> ما ذكره صاحب الكفاية قدس سره </w:t>
      </w:r>
      <w:r w:rsidRPr="007467B1">
        <w:rPr>
          <w:rFonts w:ascii="mylotus" w:hAnsi="mylotus"/>
          <w:sz w:val="34"/>
          <w:szCs w:val="34"/>
          <w:rtl/>
        </w:rPr>
        <w:t>[الكفاية ص151] وحاصله: أن صاحب الفصول رحمه الله قد فرق بين المسألتين في باب العبادات</w:t>
      </w:r>
      <w:r>
        <w:rPr>
          <w:rFonts w:ascii="mylotus" w:hAnsi="mylotus"/>
          <w:sz w:val="34"/>
          <w:szCs w:val="34"/>
          <w:rtl/>
        </w:rPr>
        <w:t xml:space="preserve"> </w:t>
      </w:r>
      <w:r w:rsidRPr="007467B1">
        <w:rPr>
          <w:rFonts w:ascii="mylotus" w:hAnsi="mylotus"/>
          <w:sz w:val="34"/>
          <w:szCs w:val="34"/>
          <w:rtl/>
        </w:rPr>
        <w:t>باختلاف الموضوع، حيث أفاد بأن موضوع البحث في هذه المسألة -وهي مسألة اجتماع الأمر والنهي- هو عبارة عن تعلق الأمر والنهي بطبيعتين متغايرتين مفهوماً وإن كانت النسبة بينهما بحسب الصدق</w:t>
      </w:r>
      <w:r>
        <w:rPr>
          <w:rFonts w:ascii="mylotus" w:hAnsi="mylotus"/>
          <w:sz w:val="34"/>
          <w:szCs w:val="34"/>
          <w:rtl/>
        </w:rPr>
        <w:t xml:space="preserve"> </w:t>
      </w:r>
      <w:r w:rsidRPr="007467B1">
        <w:rPr>
          <w:rFonts w:ascii="mylotus" w:hAnsi="mylotus"/>
          <w:sz w:val="34"/>
          <w:szCs w:val="34"/>
          <w:rtl/>
        </w:rPr>
        <w:t>العموم والخصوص المطلق، كأن يأمره بإكرام الهاشمي وينهاه عن إطعامه</w:t>
      </w:r>
      <w:r>
        <w:rPr>
          <w:rFonts w:ascii="mylotus" w:hAnsi="mylotus"/>
          <w:sz w:val="34"/>
          <w:szCs w:val="34"/>
          <w:rtl/>
        </w:rPr>
        <w:t>،</w:t>
      </w:r>
      <w:r w:rsidRPr="007467B1">
        <w:rPr>
          <w:rFonts w:ascii="mylotus" w:hAnsi="mylotus"/>
          <w:sz w:val="34"/>
          <w:szCs w:val="34"/>
          <w:rtl/>
        </w:rPr>
        <w:t xml:space="preserve"> أو يأمره</w:t>
      </w:r>
      <w:r>
        <w:rPr>
          <w:rFonts w:ascii="mylotus" w:hAnsi="mylotus"/>
          <w:sz w:val="34"/>
          <w:szCs w:val="34"/>
          <w:rtl/>
        </w:rPr>
        <w:t xml:space="preserve"> </w:t>
      </w:r>
      <w:r w:rsidRPr="007467B1">
        <w:rPr>
          <w:rFonts w:ascii="mylotus" w:hAnsi="mylotus"/>
          <w:sz w:val="34"/>
          <w:szCs w:val="34"/>
          <w:rtl/>
        </w:rPr>
        <w:t>بالحركة وينهاه عن القرب من مكان معين، حيث إن النسبة بين المفهومين المختلفين بحسب الحقيقة</w:t>
      </w:r>
      <w:r>
        <w:rPr>
          <w:rFonts w:ascii="mylotus" w:hAnsi="mylotus" w:hint="cs"/>
          <w:sz w:val="34"/>
          <w:szCs w:val="34"/>
          <w:rtl/>
        </w:rPr>
        <w:t xml:space="preserve"> </w:t>
      </w:r>
      <w:r w:rsidRPr="007467B1">
        <w:rPr>
          <w:rFonts w:ascii="mylotus" w:hAnsi="mylotus"/>
          <w:sz w:val="34"/>
          <w:szCs w:val="34"/>
          <w:rtl/>
        </w:rPr>
        <w:t>عموم وخصوص مطلق في مقام الصدق</w:t>
      </w:r>
      <w:r>
        <w:rPr>
          <w:rFonts w:ascii="mylotus" w:hAnsi="mylotus"/>
          <w:sz w:val="34"/>
          <w:szCs w:val="34"/>
          <w:rtl/>
        </w:rPr>
        <w:t>،</w:t>
      </w:r>
      <w:r w:rsidRPr="007467B1">
        <w:rPr>
          <w:rFonts w:ascii="mylotus" w:hAnsi="mylotus"/>
          <w:sz w:val="34"/>
          <w:szCs w:val="34"/>
          <w:rtl/>
        </w:rPr>
        <w:t xml:space="preserve"> فهذا هو موضوع</w:t>
      </w:r>
      <w:r>
        <w:rPr>
          <w:rFonts w:ascii="mylotus" w:hAnsi="mylotus"/>
          <w:sz w:val="34"/>
          <w:szCs w:val="34"/>
          <w:rtl/>
        </w:rPr>
        <w:t xml:space="preserve"> </w:t>
      </w:r>
      <w:r w:rsidRPr="007467B1">
        <w:rPr>
          <w:rFonts w:ascii="mylotus" w:hAnsi="mylotus"/>
          <w:sz w:val="34"/>
          <w:szCs w:val="34"/>
          <w:rtl/>
        </w:rPr>
        <w:t>مسألة الاجتماع</w:t>
      </w:r>
      <w:r w:rsidRPr="007467B1">
        <w:rPr>
          <w:rFonts w:ascii="mylotus" w:hAnsi="mylotus"/>
          <w:sz w:val="34"/>
          <w:szCs w:val="34"/>
        </w:rPr>
        <w:t>.</w:t>
      </w:r>
    </w:p>
    <w:p w14:paraId="595D2E1B" w14:textId="3FBF6C33" w:rsidR="007467B1" w:rsidRDefault="007467B1" w:rsidP="007467B1">
      <w:pPr>
        <w:pStyle w:val="a0"/>
        <w:bidi/>
        <w:spacing w:line="216" w:lineRule="auto"/>
        <w:rPr>
          <w:rFonts w:ascii="mylotus" w:hAnsi="mylotus" w:hint="cs"/>
          <w:sz w:val="34"/>
          <w:szCs w:val="34"/>
          <w:rtl/>
        </w:rPr>
      </w:pPr>
      <w:r w:rsidRPr="007467B1">
        <w:rPr>
          <w:rFonts w:ascii="mylotus" w:hAnsi="mylotus"/>
          <w:sz w:val="34"/>
          <w:szCs w:val="34"/>
          <w:rtl/>
        </w:rPr>
        <w:t>بينما موضوع مسألة اقتضاء النهي للفساد هو عبارة عن تعلق النهي بنفس ما تعلق به الأمر</w:t>
      </w:r>
      <w:r>
        <w:rPr>
          <w:rFonts w:ascii="mylotus" w:hAnsi="mylotus"/>
          <w:sz w:val="34"/>
          <w:szCs w:val="34"/>
          <w:rtl/>
        </w:rPr>
        <w:t>،</w:t>
      </w:r>
      <w:r w:rsidRPr="007467B1">
        <w:rPr>
          <w:rFonts w:ascii="mylotus" w:hAnsi="mylotus"/>
          <w:sz w:val="34"/>
          <w:szCs w:val="34"/>
          <w:rtl/>
        </w:rPr>
        <w:t xml:space="preserve"> بحيث تكون النسبة بين متعلق الأمر ومتعلق النهي نسبة المطلق للمقيد، كأن يأمره بالصلاة كقوله (صلِّ) وينهاه عن الصلاة في الحمام أي (لا تصلِّ في الحمام)، أو يأمره بالصوم كل يوم وينهاه عن صوم العيدين،</w:t>
      </w:r>
      <w:r>
        <w:rPr>
          <w:rFonts w:ascii="mylotus" w:hAnsi="mylotus"/>
          <w:sz w:val="34"/>
          <w:szCs w:val="34"/>
          <w:rtl/>
        </w:rPr>
        <w:t xml:space="preserve"> </w:t>
      </w:r>
      <w:r w:rsidRPr="007467B1">
        <w:rPr>
          <w:rFonts w:ascii="mylotus" w:hAnsi="mylotus"/>
          <w:sz w:val="34"/>
          <w:szCs w:val="34"/>
          <w:rtl/>
        </w:rPr>
        <w:t xml:space="preserve">فهذا هو </w:t>
      </w:r>
      <w:r>
        <w:rPr>
          <w:rFonts w:ascii="mylotus" w:hAnsi="mylotus"/>
          <w:sz w:val="34"/>
          <w:szCs w:val="34"/>
          <w:rtl/>
        </w:rPr>
        <w:t>موضوع مسألة اقتضاء النهي للفساد</w:t>
      </w:r>
      <w:r>
        <w:rPr>
          <w:rFonts w:ascii="mylotus" w:hAnsi="mylotus" w:hint="cs"/>
          <w:sz w:val="34"/>
          <w:szCs w:val="34"/>
          <w:rtl/>
        </w:rPr>
        <w:t>.</w:t>
      </w:r>
      <w:r w:rsidRPr="007467B1">
        <w:rPr>
          <w:rFonts w:ascii="mylotus" w:hAnsi="mylotus"/>
          <w:sz w:val="34"/>
          <w:szCs w:val="34"/>
          <w:rtl/>
        </w:rPr>
        <w:t xml:space="preserve"> هذا ما ذكره صاحب الفصول</w:t>
      </w:r>
      <w:r>
        <w:rPr>
          <w:rFonts w:ascii="mylotus" w:hAnsi="mylotus" w:hint="cs"/>
          <w:sz w:val="34"/>
          <w:szCs w:val="34"/>
          <w:rtl/>
        </w:rPr>
        <w:t>.</w:t>
      </w:r>
    </w:p>
    <w:p w14:paraId="38D42C29" w14:textId="665BF358" w:rsidR="007467B1" w:rsidRPr="007467B1" w:rsidRDefault="007467B1" w:rsidP="007467B1">
      <w:pPr>
        <w:pStyle w:val="a0"/>
        <w:bidi/>
        <w:spacing w:line="216" w:lineRule="auto"/>
        <w:rPr>
          <w:rFonts w:ascii="mylotus" w:hAnsi="mylotus"/>
          <w:b/>
          <w:bCs/>
          <w:sz w:val="34"/>
          <w:szCs w:val="34"/>
          <w:rtl/>
        </w:rPr>
      </w:pPr>
      <w:r w:rsidRPr="007467B1">
        <w:rPr>
          <w:rFonts w:ascii="mylotus" w:hAnsi="mylotus"/>
          <w:b/>
          <w:bCs/>
          <w:sz w:val="34"/>
          <w:szCs w:val="34"/>
          <w:rtl/>
        </w:rPr>
        <w:t>ويلاحظ على ما</w:t>
      </w:r>
      <w:r w:rsidRPr="007467B1">
        <w:rPr>
          <w:rFonts w:ascii="mylotus" w:hAnsi="mylotus" w:hint="cs"/>
          <w:b/>
          <w:bCs/>
          <w:sz w:val="34"/>
          <w:szCs w:val="34"/>
          <w:rtl/>
        </w:rPr>
        <w:t xml:space="preserve"> </w:t>
      </w:r>
      <w:r w:rsidRPr="007467B1">
        <w:rPr>
          <w:rFonts w:ascii="mylotus" w:hAnsi="mylotus"/>
          <w:b/>
          <w:bCs/>
          <w:sz w:val="34"/>
          <w:szCs w:val="34"/>
          <w:rtl/>
        </w:rPr>
        <w:t>أفاده</w:t>
      </w:r>
      <w:r>
        <w:rPr>
          <w:rFonts w:ascii="mylotus" w:hAnsi="mylotus"/>
          <w:b/>
          <w:bCs/>
          <w:sz w:val="34"/>
          <w:szCs w:val="34"/>
          <w:rtl/>
        </w:rPr>
        <w:t>:</w:t>
      </w:r>
    </w:p>
    <w:p w14:paraId="3EAEE741" w14:textId="1303A9A4" w:rsidR="007467B1" w:rsidRPr="007467B1" w:rsidRDefault="007467B1" w:rsidP="007467B1">
      <w:pPr>
        <w:pStyle w:val="a0"/>
        <w:bidi/>
        <w:spacing w:line="216" w:lineRule="auto"/>
        <w:rPr>
          <w:rFonts w:ascii="mylotus" w:hAnsi="mylotus"/>
          <w:sz w:val="34"/>
          <w:szCs w:val="34"/>
          <w:rtl/>
        </w:rPr>
      </w:pPr>
      <w:r w:rsidRPr="007467B1">
        <w:rPr>
          <w:rFonts w:ascii="mylotus" w:hAnsi="mylotus"/>
          <w:b/>
          <w:bCs/>
          <w:sz w:val="34"/>
          <w:szCs w:val="34"/>
          <w:rtl/>
        </w:rPr>
        <w:t>أولاً:</w:t>
      </w:r>
      <w:r w:rsidRPr="007467B1">
        <w:rPr>
          <w:rFonts w:ascii="mylotus" w:hAnsi="mylotus"/>
          <w:sz w:val="34"/>
          <w:szCs w:val="34"/>
          <w:rtl/>
        </w:rPr>
        <w:t xml:space="preserve"> المناقشة في الصغرى، وذلك لأن البحث في مسألة اجتماع الأمر والنهي لا يختص بالطبيعتين المتغايرتين بل يشمل الطبيعة الواحدة مع كون النسبة بين متعلق الأمر والنهي</w:t>
      </w:r>
      <w:r>
        <w:rPr>
          <w:rFonts w:ascii="mylotus" w:hAnsi="mylotus"/>
          <w:sz w:val="34"/>
          <w:szCs w:val="34"/>
          <w:rtl/>
        </w:rPr>
        <w:t xml:space="preserve"> </w:t>
      </w:r>
      <w:r w:rsidRPr="007467B1">
        <w:rPr>
          <w:rFonts w:ascii="mylotus" w:hAnsi="mylotus"/>
          <w:sz w:val="34"/>
          <w:szCs w:val="34"/>
          <w:rtl/>
        </w:rPr>
        <w:t>نسبة المطلق للمقيد،</w:t>
      </w:r>
      <w:r>
        <w:rPr>
          <w:rFonts w:ascii="mylotus" w:hAnsi="mylotus"/>
          <w:sz w:val="34"/>
          <w:szCs w:val="34"/>
          <w:rtl/>
        </w:rPr>
        <w:t xml:space="preserve"> </w:t>
      </w:r>
      <w:r w:rsidRPr="007467B1">
        <w:rPr>
          <w:rFonts w:ascii="mylotus" w:hAnsi="mylotus"/>
          <w:sz w:val="34"/>
          <w:szCs w:val="34"/>
          <w:rtl/>
        </w:rPr>
        <w:t>(صلِّ) و(لا تصلِّ في مواطن التهمة</w:t>
      </w:r>
      <w:r>
        <w:rPr>
          <w:rFonts w:ascii="mylotus" w:hAnsi="mylotus"/>
          <w:sz w:val="34"/>
          <w:szCs w:val="34"/>
          <w:rtl/>
        </w:rPr>
        <w:t>)</w:t>
      </w:r>
      <w:r w:rsidRPr="007467B1">
        <w:rPr>
          <w:rFonts w:ascii="mylotus" w:hAnsi="mylotus"/>
          <w:sz w:val="34"/>
          <w:szCs w:val="34"/>
          <w:rtl/>
        </w:rPr>
        <w:t>، فإنه داخل في بحث اجتماع الأمر والنهي وإن كانت الطبيعة واحدة</w:t>
      </w:r>
      <w:r w:rsidRPr="007467B1">
        <w:rPr>
          <w:rFonts w:ascii="mylotus" w:hAnsi="mylotus"/>
          <w:sz w:val="34"/>
          <w:szCs w:val="34"/>
        </w:rPr>
        <w:t>.</w:t>
      </w:r>
    </w:p>
    <w:p w14:paraId="56EA7198" w14:textId="3B0B2BD3"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كما أن بحث اقتضاء النهي للفساد لا يختص بما إذا تعلق النهي بنفس ما تعلق به الأمر، بل يشمل ما لو تعلق النهي بالعبادة بواسطة عنوان ثانوي لا بنفس عنوانها</w:t>
      </w:r>
      <w:r>
        <w:rPr>
          <w:rFonts w:ascii="mylotus" w:hAnsi="mylotus"/>
          <w:sz w:val="34"/>
          <w:szCs w:val="34"/>
          <w:rtl/>
        </w:rPr>
        <w:t>،</w:t>
      </w:r>
      <w:r w:rsidRPr="007467B1">
        <w:rPr>
          <w:rFonts w:ascii="mylotus" w:hAnsi="mylotus"/>
          <w:sz w:val="34"/>
          <w:szCs w:val="34"/>
          <w:rtl/>
        </w:rPr>
        <w:t xml:space="preserve"> كما إذا أمره بالصلاة ونهاه عن مخالفة التقية</w:t>
      </w:r>
      <w:r>
        <w:rPr>
          <w:rFonts w:ascii="mylotus" w:hAnsi="mylotus"/>
          <w:sz w:val="34"/>
          <w:szCs w:val="34"/>
          <w:rtl/>
        </w:rPr>
        <w:t>،</w:t>
      </w:r>
      <w:r w:rsidRPr="007467B1">
        <w:rPr>
          <w:rFonts w:ascii="mylotus" w:hAnsi="mylotus"/>
          <w:sz w:val="34"/>
          <w:szCs w:val="34"/>
          <w:rtl/>
        </w:rPr>
        <w:t xml:space="preserve"> فالصلاة المخالفة للتقية من صغريات</w:t>
      </w:r>
      <w:r>
        <w:rPr>
          <w:rFonts w:ascii="mylotus" w:hAnsi="mylotus"/>
          <w:sz w:val="34"/>
          <w:szCs w:val="34"/>
          <w:rtl/>
        </w:rPr>
        <w:t xml:space="preserve"> </w:t>
      </w:r>
      <w:r w:rsidRPr="007467B1">
        <w:rPr>
          <w:rFonts w:ascii="mylotus" w:hAnsi="mylotus"/>
          <w:sz w:val="34"/>
          <w:szCs w:val="34"/>
          <w:rtl/>
        </w:rPr>
        <w:t>مسألة اقتضاء النهي للفساد وإن لم يتعلق النهي بنفس ما تعلق به الأمر</w:t>
      </w:r>
      <w:r w:rsidRPr="007467B1">
        <w:rPr>
          <w:rFonts w:ascii="mylotus" w:hAnsi="mylotus"/>
          <w:sz w:val="34"/>
          <w:szCs w:val="34"/>
        </w:rPr>
        <w:t>.</w:t>
      </w:r>
    </w:p>
    <w:p w14:paraId="7B14AAE8" w14:textId="77777777"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فدعوى أن التغاير بين المسألتين باختلاف الموضوع غير تامة، بل بينهما عموم من وجه</w:t>
      </w:r>
      <w:r w:rsidRPr="007467B1">
        <w:rPr>
          <w:rFonts w:ascii="mylotus" w:hAnsi="mylotus"/>
          <w:sz w:val="34"/>
          <w:szCs w:val="34"/>
        </w:rPr>
        <w:t>.</w:t>
      </w:r>
    </w:p>
    <w:p w14:paraId="00B7F472" w14:textId="5FCC18A5" w:rsidR="007467B1" w:rsidRDefault="007467B1" w:rsidP="007467B1">
      <w:pPr>
        <w:pStyle w:val="a0"/>
        <w:bidi/>
        <w:spacing w:line="216" w:lineRule="auto"/>
        <w:rPr>
          <w:rFonts w:ascii="mylotus" w:hAnsi="mylotus" w:hint="cs"/>
          <w:sz w:val="34"/>
          <w:szCs w:val="34"/>
          <w:rtl/>
        </w:rPr>
      </w:pPr>
      <w:r w:rsidRPr="007467B1">
        <w:rPr>
          <w:rFonts w:ascii="mylotus" w:hAnsi="mylotus"/>
          <w:b/>
          <w:bCs/>
          <w:sz w:val="34"/>
          <w:szCs w:val="34"/>
          <w:rtl/>
        </w:rPr>
        <w:lastRenderedPageBreak/>
        <w:t>وثانياً:</w:t>
      </w:r>
      <w:r w:rsidRPr="007467B1">
        <w:rPr>
          <w:rFonts w:ascii="mylotus" w:hAnsi="mylotus"/>
          <w:sz w:val="34"/>
          <w:szCs w:val="34"/>
          <w:rtl/>
        </w:rPr>
        <w:t xml:space="preserve"> المناقشة في الكبرى -وهي ما</w:t>
      </w:r>
      <w:r>
        <w:rPr>
          <w:rFonts w:ascii="mylotus" w:hAnsi="mylotus" w:hint="cs"/>
          <w:sz w:val="34"/>
          <w:szCs w:val="34"/>
          <w:rtl/>
        </w:rPr>
        <w:t xml:space="preserve"> </w:t>
      </w:r>
      <w:r w:rsidRPr="007467B1">
        <w:rPr>
          <w:rFonts w:ascii="mylotus" w:hAnsi="mylotus"/>
          <w:sz w:val="34"/>
          <w:szCs w:val="34"/>
          <w:rtl/>
        </w:rPr>
        <w:t>أورده عليه صاحب الكفاية قد</w:t>
      </w:r>
      <w:r>
        <w:rPr>
          <w:rFonts w:ascii="mylotus" w:hAnsi="mylotus" w:hint="cs"/>
          <w:sz w:val="34"/>
          <w:szCs w:val="34"/>
          <w:rtl/>
        </w:rPr>
        <w:t>س سر</w:t>
      </w:r>
      <w:r w:rsidRPr="007467B1">
        <w:rPr>
          <w:rFonts w:ascii="mylotus" w:hAnsi="mylotus"/>
          <w:sz w:val="34"/>
          <w:szCs w:val="34"/>
          <w:rtl/>
        </w:rPr>
        <w:t>ه- وحاصلها</w:t>
      </w:r>
      <w:r>
        <w:rPr>
          <w:rFonts w:ascii="mylotus" w:hAnsi="mylotus"/>
          <w:sz w:val="34"/>
          <w:szCs w:val="34"/>
          <w:rtl/>
        </w:rPr>
        <w:t>:</w:t>
      </w:r>
      <w:r w:rsidRPr="007467B1">
        <w:rPr>
          <w:rFonts w:ascii="mylotus" w:hAnsi="mylotus"/>
          <w:sz w:val="34"/>
          <w:szCs w:val="34"/>
          <w:rtl/>
        </w:rPr>
        <w:t xml:space="preserve"> أن تمايز العلوم بتمايز الأغراض</w:t>
      </w:r>
      <w:r>
        <w:rPr>
          <w:rFonts w:ascii="mylotus" w:hAnsi="mylotus"/>
          <w:sz w:val="34"/>
          <w:szCs w:val="34"/>
          <w:rtl/>
        </w:rPr>
        <w:t>،</w:t>
      </w:r>
      <w:r w:rsidRPr="007467B1">
        <w:rPr>
          <w:rFonts w:ascii="mylotus" w:hAnsi="mylotus"/>
          <w:sz w:val="34"/>
          <w:szCs w:val="34"/>
          <w:rtl/>
        </w:rPr>
        <w:t xml:space="preserve"> ولكن هل أن تمايز المسائل في العلم الواحد بتمايز الموضوعات أو تمايز المحمولات أو تمايز جهة البحث؟</w:t>
      </w:r>
    </w:p>
    <w:p w14:paraId="62ED8C8D" w14:textId="205FABD4"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والصحيح</w:t>
      </w:r>
      <w:r>
        <w:rPr>
          <w:rFonts w:ascii="mylotus" w:hAnsi="mylotus"/>
          <w:sz w:val="34"/>
          <w:szCs w:val="34"/>
          <w:rtl/>
        </w:rPr>
        <w:t>:</w:t>
      </w:r>
      <w:r w:rsidRPr="007467B1">
        <w:rPr>
          <w:rFonts w:ascii="mylotus" w:hAnsi="mylotus"/>
          <w:sz w:val="34"/>
          <w:szCs w:val="34"/>
          <w:rtl/>
        </w:rPr>
        <w:t xml:space="preserve"> أن تمايز المسائل لا بالموضوع </w:t>
      </w:r>
      <w:r>
        <w:rPr>
          <w:rFonts w:ascii="mylotus" w:hAnsi="mylotus"/>
          <w:sz w:val="34"/>
          <w:szCs w:val="34"/>
          <w:rtl/>
        </w:rPr>
        <w:t>ولا بالمحمول ولكن بجهة البحث، و</w:t>
      </w:r>
      <w:r w:rsidRPr="007467B1">
        <w:rPr>
          <w:rFonts w:ascii="mylotus" w:hAnsi="mylotus"/>
          <w:sz w:val="34"/>
          <w:szCs w:val="34"/>
          <w:rtl/>
        </w:rPr>
        <w:t xml:space="preserve">المراد بجهة البحث -ما </w:t>
      </w:r>
      <w:r>
        <w:rPr>
          <w:rFonts w:ascii="mylotus" w:hAnsi="mylotus"/>
          <w:sz w:val="34"/>
          <w:szCs w:val="34"/>
          <w:rtl/>
        </w:rPr>
        <w:t>وقع النزاع فيه-، وإن لم يكن من</w:t>
      </w:r>
      <w:r w:rsidRPr="007467B1">
        <w:rPr>
          <w:rFonts w:ascii="mylotus" w:hAnsi="mylotus"/>
          <w:sz w:val="34"/>
          <w:szCs w:val="34"/>
          <w:rtl/>
        </w:rPr>
        <w:t xml:space="preserve"> قسم المحمول</w:t>
      </w:r>
      <w:r>
        <w:rPr>
          <w:rFonts w:ascii="mylotus" w:hAnsi="mylotus"/>
          <w:sz w:val="34"/>
          <w:szCs w:val="34"/>
          <w:rtl/>
        </w:rPr>
        <w:t>.</w:t>
      </w:r>
    </w:p>
    <w:p w14:paraId="695CFEC9" w14:textId="3CB9595D" w:rsidR="007467B1" w:rsidRDefault="007467B1" w:rsidP="007467B1">
      <w:pPr>
        <w:pStyle w:val="a0"/>
        <w:bidi/>
        <w:spacing w:line="216" w:lineRule="auto"/>
        <w:rPr>
          <w:rFonts w:ascii="mylotus" w:hAnsi="mylotus" w:hint="cs"/>
          <w:sz w:val="34"/>
          <w:szCs w:val="34"/>
          <w:rtl/>
        </w:rPr>
      </w:pPr>
      <w:r w:rsidRPr="007467B1">
        <w:rPr>
          <w:rFonts w:ascii="mylotus" w:hAnsi="mylotus"/>
          <w:sz w:val="34"/>
          <w:szCs w:val="34"/>
          <w:rtl/>
        </w:rPr>
        <w:t>فلو تغاير الموضوع والمحمول ولكن جهة البحث كانت واحدة فلا يصح عقد مسألتين</w:t>
      </w:r>
      <w:r>
        <w:rPr>
          <w:rFonts w:ascii="mylotus" w:hAnsi="mylotus"/>
          <w:sz w:val="34"/>
          <w:szCs w:val="34"/>
          <w:rtl/>
        </w:rPr>
        <w:t>؛</w:t>
      </w:r>
      <w:r w:rsidRPr="007467B1">
        <w:rPr>
          <w:rFonts w:ascii="mylotus" w:hAnsi="mylotus"/>
          <w:sz w:val="34"/>
          <w:szCs w:val="34"/>
          <w:rtl/>
        </w:rPr>
        <w:t xml:space="preserve"> مثلاً هل أن مقدمة الواجب واجبة؟ وهل أن مقدمة الحرام حرام؟ وهل أن مقدمة المستحب مستحبة؟ فإنها قضايا متعددة موضوعاً ومحمولاً لكن جهة البحث فيها واحدة وهي إدراك العقل</w:t>
      </w:r>
      <w:r>
        <w:rPr>
          <w:rFonts w:ascii="mylotus" w:hAnsi="mylotus"/>
          <w:sz w:val="34"/>
          <w:szCs w:val="34"/>
          <w:rtl/>
        </w:rPr>
        <w:t xml:space="preserve"> </w:t>
      </w:r>
      <w:r w:rsidRPr="007467B1">
        <w:rPr>
          <w:rFonts w:ascii="mylotus" w:hAnsi="mylotus"/>
          <w:sz w:val="34"/>
          <w:szCs w:val="34"/>
          <w:rtl/>
        </w:rPr>
        <w:t>الملازمة الشرعية بين حكم ذي المقدمة وحكم المقدمة بغض النظر عن كونهما مقدمة حرام، أو مقدمة واجب، أو مقدمة مستحب</w:t>
      </w:r>
      <w:r w:rsidRPr="007467B1">
        <w:rPr>
          <w:rFonts w:ascii="mylotus" w:hAnsi="mylotus"/>
          <w:sz w:val="34"/>
          <w:szCs w:val="34"/>
        </w:rPr>
        <w:t>.</w:t>
      </w:r>
    </w:p>
    <w:p w14:paraId="05683161" w14:textId="32BB5B3C" w:rsidR="007467B1" w:rsidRPr="007467B1" w:rsidRDefault="007467B1" w:rsidP="007467B1">
      <w:pPr>
        <w:pStyle w:val="a0"/>
        <w:bidi/>
        <w:spacing w:line="216" w:lineRule="auto"/>
        <w:rPr>
          <w:rFonts w:ascii="mylotus" w:hAnsi="mylotus"/>
          <w:sz w:val="34"/>
          <w:szCs w:val="34"/>
          <w:rtl/>
        </w:rPr>
      </w:pPr>
      <w:r>
        <w:rPr>
          <w:rFonts w:ascii="mylotus" w:hAnsi="mylotus"/>
          <w:sz w:val="34"/>
          <w:szCs w:val="34"/>
          <w:rtl/>
        </w:rPr>
        <w:t xml:space="preserve">أو </w:t>
      </w:r>
      <w:r w:rsidRPr="007467B1">
        <w:rPr>
          <w:rFonts w:ascii="mylotus" w:hAnsi="mylotus"/>
          <w:sz w:val="34"/>
          <w:szCs w:val="34"/>
          <w:rtl/>
        </w:rPr>
        <w:t>هل أن النهي عن الصوم يقتضي فساده؟ وهل أن النهي عن الصلاة يقتضي فسادها؟</w:t>
      </w:r>
      <w:r>
        <w:rPr>
          <w:rFonts w:ascii="mylotus" w:hAnsi="mylotus"/>
          <w:sz w:val="34"/>
          <w:szCs w:val="34"/>
          <w:rtl/>
        </w:rPr>
        <w:t>.</w:t>
      </w:r>
      <w:r>
        <w:rPr>
          <w:rFonts w:ascii="mylotus" w:hAnsi="mylotus" w:hint="cs"/>
          <w:sz w:val="34"/>
          <w:szCs w:val="34"/>
          <w:rtl/>
        </w:rPr>
        <w:t>..</w:t>
      </w:r>
      <w:r w:rsidRPr="007467B1">
        <w:rPr>
          <w:rFonts w:ascii="mylotus" w:hAnsi="mylotus"/>
          <w:sz w:val="34"/>
          <w:szCs w:val="34"/>
          <w:rtl/>
        </w:rPr>
        <w:t>إلخ؟ فإنه لا موجب لعقد مسائل متعددة ما دامت جهة البحث واحدة</w:t>
      </w:r>
      <w:r w:rsidRPr="007467B1">
        <w:rPr>
          <w:rFonts w:ascii="mylotus" w:hAnsi="mylotus"/>
          <w:sz w:val="34"/>
          <w:szCs w:val="34"/>
        </w:rPr>
        <w:t>.</w:t>
      </w:r>
    </w:p>
    <w:p w14:paraId="093B1C73" w14:textId="39CEDC44"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وقد يكون الموضوع والمحمول واحدا لكن جهة البحث متعددة فهي مسائل متعددة؛ مثلاً خبر ا</w:t>
      </w:r>
      <w:r>
        <w:rPr>
          <w:rFonts w:ascii="mylotus" w:hAnsi="mylotus"/>
          <w:sz w:val="34"/>
          <w:szCs w:val="34"/>
          <w:rtl/>
        </w:rPr>
        <w:t>لثقة حجة، قضية مؤلفة من موضوع و</w:t>
      </w:r>
      <w:r w:rsidRPr="007467B1">
        <w:rPr>
          <w:rFonts w:ascii="mylotus" w:hAnsi="mylotus"/>
          <w:sz w:val="34"/>
          <w:szCs w:val="34"/>
          <w:rtl/>
        </w:rPr>
        <w:t xml:space="preserve">محمول، الا أنه يمكن تصور جهات عديدة للبحث نحو </w:t>
      </w:r>
      <w:r>
        <w:rPr>
          <w:rFonts w:ascii="mylotus" w:hAnsi="mylotus"/>
          <w:sz w:val="34"/>
          <w:szCs w:val="34"/>
          <w:rtl/>
        </w:rPr>
        <w:t>(</w:t>
      </w:r>
      <w:r w:rsidRPr="007467B1">
        <w:rPr>
          <w:rFonts w:ascii="mylotus" w:hAnsi="mylotus"/>
          <w:sz w:val="34"/>
          <w:szCs w:val="34"/>
          <w:rtl/>
        </w:rPr>
        <w:t xml:space="preserve">هل خبر </w:t>
      </w:r>
      <w:r>
        <w:rPr>
          <w:rFonts w:ascii="mylotus" w:hAnsi="mylotus"/>
          <w:sz w:val="34"/>
          <w:szCs w:val="34"/>
          <w:rtl/>
        </w:rPr>
        <w:t>الثقة حجة في صدوره)</w:t>
      </w:r>
      <w:r w:rsidRPr="007467B1">
        <w:rPr>
          <w:rFonts w:ascii="mylotus" w:hAnsi="mylotus"/>
          <w:sz w:val="34"/>
          <w:szCs w:val="34"/>
          <w:rtl/>
        </w:rPr>
        <w:t>، ونحو</w:t>
      </w:r>
      <w:r>
        <w:rPr>
          <w:rFonts w:ascii="mylotus" w:hAnsi="mylotus"/>
          <w:sz w:val="34"/>
          <w:szCs w:val="34"/>
          <w:rtl/>
        </w:rPr>
        <w:t xml:space="preserve"> (</w:t>
      </w:r>
      <w:r w:rsidRPr="007467B1">
        <w:rPr>
          <w:rFonts w:ascii="mylotus" w:hAnsi="mylotus"/>
          <w:sz w:val="34"/>
          <w:szCs w:val="34"/>
          <w:rtl/>
        </w:rPr>
        <w:t>هل خبر الثقة حجة في ظهوره). وهما مسألتان</w:t>
      </w:r>
      <w:r>
        <w:rPr>
          <w:rFonts w:ascii="mylotus" w:hAnsi="mylotus"/>
          <w:sz w:val="34"/>
          <w:szCs w:val="34"/>
          <w:rtl/>
        </w:rPr>
        <w:t xml:space="preserve"> </w:t>
      </w:r>
      <w:r w:rsidRPr="007467B1">
        <w:rPr>
          <w:rFonts w:ascii="mylotus" w:hAnsi="mylotus"/>
          <w:sz w:val="34"/>
          <w:szCs w:val="34"/>
          <w:rtl/>
        </w:rPr>
        <w:t>مع أن الموضوع والمحمول واحد فيهما</w:t>
      </w:r>
      <w:r>
        <w:rPr>
          <w:rFonts w:ascii="mylotus" w:hAnsi="mylotus"/>
          <w:sz w:val="34"/>
          <w:szCs w:val="34"/>
          <w:rtl/>
        </w:rPr>
        <w:t>،</w:t>
      </w:r>
      <w:r w:rsidRPr="007467B1">
        <w:rPr>
          <w:rFonts w:ascii="mylotus" w:hAnsi="mylotus"/>
          <w:sz w:val="34"/>
          <w:szCs w:val="34"/>
          <w:rtl/>
        </w:rPr>
        <w:t xml:space="preserve"> إلا أن جهة البحث -وهي</w:t>
      </w:r>
      <w:r>
        <w:rPr>
          <w:rFonts w:ascii="mylotus" w:hAnsi="mylotus"/>
          <w:sz w:val="34"/>
          <w:szCs w:val="34"/>
          <w:rtl/>
        </w:rPr>
        <w:t xml:space="preserve"> الحجية من جهة الصدور أو الظهور</w:t>
      </w:r>
      <w:r w:rsidRPr="007467B1">
        <w:rPr>
          <w:rFonts w:ascii="mylotus" w:hAnsi="mylotus"/>
          <w:sz w:val="34"/>
          <w:szCs w:val="34"/>
          <w:rtl/>
        </w:rPr>
        <w:t>-</w:t>
      </w:r>
      <w:r>
        <w:rPr>
          <w:rFonts w:ascii="mylotus" w:hAnsi="mylotus"/>
          <w:sz w:val="34"/>
          <w:szCs w:val="34"/>
          <w:rtl/>
        </w:rPr>
        <w:t xml:space="preserve"> </w:t>
      </w:r>
      <w:r w:rsidRPr="007467B1">
        <w:rPr>
          <w:rFonts w:ascii="mylotus" w:hAnsi="mylotus"/>
          <w:sz w:val="34"/>
          <w:szCs w:val="34"/>
          <w:rtl/>
        </w:rPr>
        <w:t>مختلفة</w:t>
      </w:r>
      <w:r>
        <w:rPr>
          <w:rFonts w:ascii="mylotus" w:hAnsi="mylotus"/>
          <w:sz w:val="34"/>
          <w:szCs w:val="34"/>
          <w:rtl/>
        </w:rPr>
        <w:t>.</w:t>
      </w:r>
    </w:p>
    <w:p w14:paraId="3BBF22D2" w14:textId="2E04992E"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وقد تكون جهة البحث هي المحمول، مع أن الموضوع واحد؛ نحو (هل الأمر ظاهر في اعتبار الفعل على ذمة المكلف أو النسبة البعثية</w:t>
      </w:r>
      <w:r>
        <w:rPr>
          <w:rFonts w:ascii="mylotus" w:hAnsi="mylotus"/>
          <w:sz w:val="34"/>
          <w:szCs w:val="34"/>
          <w:rtl/>
        </w:rPr>
        <w:t>؟</w:t>
      </w:r>
      <w:r w:rsidRPr="007467B1">
        <w:rPr>
          <w:rFonts w:ascii="mylotus" w:hAnsi="mylotus"/>
          <w:sz w:val="34"/>
          <w:szCs w:val="34"/>
          <w:rtl/>
        </w:rPr>
        <w:t>) وهذه مسألة. و(هل الأمر مفيد للوجوب بذاته أو بإطلاقه</w:t>
      </w:r>
      <w:r>
        <w:rPr>
          <w:rFonts w:ascii="mylotus" w:hAnsi="mylotus"/>
          <w:sz w:val="34"/>
          <w:szCs w:val="34"/>
          <w:rtl/>
        </w:rPr>
        <w:t>؟</w:t>
      </w:r>
      <w:r w:rsidRPr="007467B1">
        <w:rPr>
          <w:rFonts w:ascii="mylotus" w:hAnsi="mylotus"/>
          <w:sz w:val="34"/>
          <w:szCs w:val="34"/>
          <w:rtl/>
        </w:rPr>
        <w:t>) وهذه مسألة أخرى. فجهة البحث هنا هي المحمول، والخلاصة أن الفارق اختلاف جهة البحث مختلفة سواء اتحد الموضوع والمحمول أم تغايرا</w:t>
      </w:r>
      <w:r w:rsidRPr="007467B1">
        <w:rPr>
          <w:rFonts w:ascii="mylotus" w:hAnsi="mylotus"/>
          <w:sz w:val="34"/>
          <w:szCs w:val="34"/>
        </w:rPr>
        <w:t>.</w:t>
      </w:r>
    </w:p>
    <w:p w14:paraId="2EA7B139" w14:textId="5CB88859"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وبذلك تبين</w:t>
      </w:r>
      <w:r>
        <w:rPr>
          <w:rFonts w:ascii="mylotus" w:hAnsi="mylotus"/>
          <w:sz w:val="34"/>
          <w:szCs w:val="34"/>
          <w:rtl/>
        </w:rPr>
        <w:t>:</w:t>
      </w:r>
      <w:r w:rsidRPr="007467B1">
        <w:rPr>
          <w:rFonts w:ascii="mylotus" w:hAnsi="mylotus"/>
          <w:sz w:val="34"/>
          <w:szCs w:val="34"/>
          <w:rtl/>
        </w:rPr>
        <w:t xml:space="preserve"> أن الفارق</w:t>
      </w:r>
      <w:r>
        <w:rPr>
          <w:rFonts w:ascii="mylotus" w:hAnsi="mylotus"/>
          <w:sz w:val="34"/>
          <w:szCs w:val="34"/>
          <w:rtl/>
        </w:rPr>
        <w:t xml:space="preserve"> </w:t>
      </w:r>
      <w:r w:rsidRPr="007467B1">
        <w:rPr>
          <w:rFonts w:ascii="mylotus" w:hAnsi="mylotus"/>
          <w:sz w:val="34"/>
          <w:szCs w:val="34"/>
          <w:rtl/>
        </w:rPr>
        <w:t>بين مسألة اجتماع الأمر والنهي ومسألة اقتضاء النهي للفساد اختلافهما من حيث جهة البحث</w:t>
      </w:r>
      <w:r>
        <w:rPr>
          <w:rFonts w:ascii="mylotus" w:hAnsi="mylotus"/>
          <w:sz w:val="34"/>
          <w:szCs w:val="34"/>
          <w:rtl/>
        </w:rPr>
        <w:t>.</w:t>
      </w:r>
    </w:p>
    <w:p w14:paraId="7246B6DD" w14:textId="4FE50261"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فإن جهة البحث -أي محور البحث و</w:t>
      </w:r>
      <w:bookmarkStart w:id="0" w:name="_GoBack"/>
      <w:bookmarkEnd w:id="0"/>
      <w:r w:rsidRPr="007467B1">
        <w:rPr>
          <w:rFonts w:ascii="mylotus" w:hAnsi="mylotus"/>
          <w:sz w:val="34"/>
          <w:szCs w:val="34"/>
          <w:rtl/>
        </w:rPr>
        <w:t>ما وقع النزاع فيه- في مسألتنا هو: هل أن تعدد العنوان يوجب تعدد المتعلق أم لا؟ مثلا هناك</w:t>
      </w:r>
      <w:r>
        <w:rPr>
          <w:rFonts w:ascii="mylotus" w:hAnsi="mylotus"/>
          <w:sz w:val="34"/>
          <w:szCs w:val="34"/>
          <w:rtl/>
        </w:rPr>
        <w:t xml:space="preserve"> </w:t>
      </w:r>
      <w:r w:rsidRPr="007467B1">
        <w:rPr>
          <w:rFonts w:ascii="mylotus" w:hAnsi="mylotus"/>
          <w:sz w:val="34"/>
          <w:szCs w:val="34"/>
          <w:rtl/>
        </w:rPr>
        <w:t>أمر بالوضوء، ونهي عن الغصب، فهل أن تعدد العنوان -وهما الوضوء والغصب- يعني أن المتعلق بلحاظ المولى في مقام الجعل متعدد؟ فإن الجاعل- مع التفاته في</w:t>
      </w:r>
      <w:r>
        <w:rPr>
          <w:rFonts w:ascii="mylotus" w:hAnsi="mylotus"/>
          <w:sz w:val="34"/>
          <w:szCs w:val="34"/>
          <w:rtl/>
        </w:rPr>
        <w:t xml:space="preserve"> </w:t>
      </w:r>
      <w:r w:rsidRPr="007467B1">
        <w:rPr>
          <w:rFonts w:ascii="mylotus" w:hAnsi="mylotus"/>
          <w:sz w:val="34"/>
          <w:szCs w:val="34"/>
          <w:rtl/>
        </w:rPr>
        <w:lastRenderedPageBreak/>
        <w:t>مقام الجعل إلى الوحدة في الخارج بين مصداق متعلق الأمر ومصداق متعلق النهي- هل يرى بحسب لحاظه إطلاق متعلق النهي شاملا لمتعلق الأمر أم لا؟</w:t>
      </w:r>
    </w:p>
    <w:p w14:paraId="1DE2305A" w14:textId="77777777"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ويترتب على ذلك السراية وعدمها، فإن كان المتعلق بلحاظ المولى واحدا سرى النهي لمتعلق الأمر، وإن كان المتعلق بحسب لحاظ المولى في مقام الجعل متعدداً لم يسرِ النهي لمتعلق الأمر</w:t>
      </w:r>
      <w:r w:rsidRPr="007467B1">
        <w:rPr>
          <w:rFonts w:ascii="mylotus" w:hAnsi="mylotus"/>
          <w:sz w:val="34"/>
          <w:szCs w:val="34"/>
        </w:rPr>
        <w:t>.</w:t>
      </w:r>
    </w:p>
    <w:p w14:paraId="0965AE1D" w14:textId="08BD8BD1"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بينما جهة البحث في مسألة اقتضاء النهي للفساد في الملازمة العقلية بين النهي عن العبادة وفسادها وعدم الملازمة</w:t>
      </w:r>
      <w:r>
        <w:rPr>
          <w:rFonts w:ascii="mylotus" w:hAnsi="mylotus"/>
          <w:sz w:val="34"/>
          <w:szCs w:val="34"/>
          <w:rtl/>
        </w:rPr>
        <w:t>؟</w:t>
      </w:r>
      <w:r w:rsidRPr="007467B1">
        <w:rPr>
          <w:rFonts w:ascii="mylotus" w:hAnsi="mylotus"/>
          <w:sz w:val="34"/>
          <w:szCs w:val="34"/>
          <w:rtl/>
        </w:rPr>
        <w:t xml:space="preserve"> فمع تعدد جهة البحث بين المسألتين يتضح الفارق بلا حاجة لما ذكر في سائر الوجوه</w:t>
      </w:r>
      <w:r w:rsidRPr="007467B1">
        <w:rPr>
          <w:rFonts w:ascii="mylotus" w:hAnsi="mylotus"/>
          <w:sz w:val="34"/>
          <w:szCs w:val="34"/>
        </w:rPr>
        <w:t xml:space="preserve">. </w:t>
      </w:r>
    </w:p>
    <w:p w14:paraId="1CD5319B" w14:textId="5627DAE6"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ثم قال: نعم، على القول بالامتناع في مسألتنا، كما لو قلنا بأن الوضوء بالماء المغصوب واحد بالحقيقة، ومقتضى أنه واحد بالحقيقة امتناع اجتماع الأمر والنهي فيه</w:t>
      </w:r>
      <w:r>
        <w:rPr>
          <w:rFonts w:ascii="mylotus" w:hAnsi="mylotus"/>
          <w:sz w:val="34"/>
          <w:szCs w:val="34"/>
          <w:rtl/>
        </w:rPr>
        <w:t>،</w:t>
      </w:r>
      <w:r w:rsidRPr="007467B1">
        <w:rPr>
          <w:rFonts w:ascii="mylotus" w:hAnsi="mylotus"/>
          <w:sz w:val="34"/>
          <w:szCs w:val="34"/>
          <w:rtl/>
        </w:rPr>
        <w:t xml:space="preserve"> وقلنا بأن النهي هو المقدم على الأمر؛ لأن إطلاق النهي شمولي، حيث يقول النهي (لا تصلِّ في الحمام)</w:t>
      </w:r>
      <w:r>
        <w:rPr>
          <w:rFonts w:ascii="mylotus" w:hAnsi="mylotus"/>
          <w:sz w:val="34"/>
          <w:szCs w:val="34"/>
          <w:rtl/>
        </w:rPr>
        <w:t xml:space="preserve"> </w:t>
      </w:r>
      <w:r w:rsidRPr="007467B1">
        <w:rPr>
          <w:rFonts w:ascii="mylotus" w:hAnsi="mylotus"/>
          <w:sz w:val="34"/>
          <w:szCs w:val="34"/>
          <w:rtl/>
        </w:rPr>
        <w:t>أو (لا تغصب)</w:t>
      </w:r>
      <w:r>
        <w:rPr>
          <w:rFonts w:ascii="mylotus" w:hAnsi="mylotus"/>
          <w:sz w:val="34"/>
          <w:szCs w:val="34"/>
          <w:rtl/>
        </w:rPr>
        <w:t>،</w:t>
      </w:r>
      <w:r w:rsidRPr="007467B1">
        <w:rPr>
          <w:rFonts w:ascii="mylotus" w:hAnsi="mylotus"/>
          <w:sz w:val="34"/>
          <w:szCs w:val="34"/>
          <w:rtl/>
        </w:rPr>
        <w:t xml:space="preserve"> بينما إطلاق الأمر إطلاق بدلي نحو (توضأ) لظهوره في كون المطلوب على نحو صرف الوجود، والإطلاق الشمولي إذا تعارض مع الإطلاق البدلي كان الإطلاق الشمولي أقوى ظهوراً فيقدم عليه، فيقدم النهي هنا على الأمر. فإذا تقدم النهي على الأمر صار النهي عن الوضوء بالماء المغصوب فعلياً، وحيث إن النهي فعلي كان من صغريات مسألة اقتضاء النهي للفساد</w:t>
      </w:r>
      <w:r w:rsidRPr="007467B1">
        <w:rPr>
          <w:rFonts w:ascii="mylotus" w:hAnsi="mylotus"/>
          <w:sz w:val="34"/>
          <w:szCs w:val="34"/>
        </w:rPr>
        <w:t>.</w:t>
      </w:r>
    </w:p>
    <w:p w14:paraId="39DCBB16" w14:textId="77777777"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t>هذا تمام كلام الكفاية</w:t>
      </w:r>
      <w:r w:rsidRPr="007467B1">
        <w:rPr>
          <w:rFonts w:ascii="mylotus" w:hAnsi="mylotus"/>
          <w:sz w:val="34"/>
          <w:szCs w:val="34"/>
        </w:rPr>
        <w:t>.</w:t>
      </w:r>
    </w:p>
    <w:p w14:paraId="2BD95631" w14:textId="77777777" w:rsidR="007467B1" w:rsidRDefault="007467B1" w:rsidP="007467B1">
      <w:pPr>
        <w:pStyle w:val="a0"/>
        <w:bidi/>
        <w:spacing w:line="216" w:lineRule="auto"/>
        <w:rPr>
          <w:rFonts w:ascii="mylotus" w:hAnsi="mylotus" w:hint="cs"/>
          <w:sz w:val="34"/>
          <w:szCs w:val="34"/>
          <w:rtl/>
        </w:rPr>
      </w:pPr>
      <w:r w:rsidRPr="007467B1">
        <w:rPr>
          <w:rFonts w:ascii="mylotus" w:hAnsi="mylotus"/>
          <w:b/>
          <w:bCs/>
          <w:sz w:val="34"/>
          <w:szCs w:val="34"/>
          <w:rtl/>
        </w:rPr>
        <w:t>وههنا إشكالان:</w:t>
      </w:r>
    </w:p>
    <w:p w14:paraId="6402022C" w14:textId="319E8E0C" w:rsidR="007467B1" w:rsidRPr="007467B1" w:rsidRDefault="007467B1" w:rsidP="007467B1">
      <w:pPr>
        <w:pStyle w:val="a0"/>
        <w:bidi/>
        <w:spacing w:line="216" w:lineRule="auto"/>
        <w:rPr>
          <w:rFonts w:ascii="mylotus" w:hAnsi="mylotus"/>
          <w:sz w:val="34"/>
          <w:szCs w:val="34"/>
          <w:rtl/>
        </w:rPr>
      </w:pPr>
      <w:r>
        <w:rPr>
          <w:rFonts w:ascii="mylotus" w:hAnsi="mylotus" w:hint="cs"/>
          <w:sz w:val="34"/>
          <w:szCs w:val="34"/>
          <w:rtl/>
        </w:rPr>
        <w:t xml:space="preserve">1- </w:t>
      </w:r>
      <w:r w:rsidRPr="007467B1">
        <w:rPr>
          <w:rFonts w:ascii="mylotus" w:hAnsi="mylotus"/>
          <w:sz w:val="34"/>
          <w:szCs w:val="34"/>
          <w:rtl/>
        </w:rPr>
        <w:t>إشكال المحقق العراقي قدس سره [كما في نهاية الأفكار ج2 ص411].</w:t>
      </w:r>
      <w:r>
        <w:rPr>
          <w:rFonts w:ascii="mylotus" w:hAnsi="mylotus"/>
          <w:sz w:val="34"/>
          <w:szCs w:val="34"/>
          <w:rtl/>
        </w:rPr>
        <w:t xml:space="preserve"> </w:t>
      </w:r>
      <w:r w:rsidRPr="007467B1">
        <w:rPr>
          <w:rFonts w:ascii="mylotus" w:hAnsi="mylotus"/>
          <w:sz w:val="34"/>
          <w:szCs w:val="34"/>
          <w:rtl/>
        </w:rPr>
        <w:t>وخلاصته</w:t>
      </w:r>
      <w:r>
        <w:rPr>
          <w:rFonts w:ascii="mylotus" w:hAnsi="mylotus"/>
          <w:sz w:val="34"/>
          <w:szCs w:val="34"/>
          <w:rtl/>
        </w:rPr>
        <w:t xml:space="preserve">: </w:t>
      </w:r>
      <w:r w:rsidRPr="007467B1">
        <w:rPr>
          <w:rFonts w:ascii="mylotus" w:hAnsi="mylotus"/>
          <w:sz w:val="34"/>
          <w:szCs w:val="34"/>
          <w:rtl/>
        </w:rPr>
        <w:t>أن الفارق بين البابين ذاتي فلا</w:t>
      </w:r>
      <w:r>
        <w:rPr>
          <w:rFonts w:ascii="mylotus" w:hAnsi="mylotus" w:hint="cs"/>
          <w:sz w:val="34"/>
          <w:szCs w:val="34"/>
          <w:rtl/>
        </w:rPr>
        <w:t xml:space="preserve"> </w:t>
      </w:r>
      <w:r>
        <w:rPr>
          <w:rFonts w:ascii="mylotus" w:hAnsi="mylotus"/>
          <w:sz w:val="34"/>
          <w:szCs w:val="34"/>
          <w:rtl/>
        </w:rPr>
        <w:t>يعقل أن تكون مسألة ال</w:t>
      </w:r>
      <w:r>
        <w:rPr>
          <w:rFonts w:ascii="mylotus" w:hAnsi="mylotus" w:hint="cs"/>
          <w:sz w:val="34"/>
          <w:szCs w:val="34"/>
          <w:rtl/>
        </w:rPr>
        <w:t>ا</w:t>
      </w:r>
      <w:r>
        <w:rPr>
          <w:rFonts w:ascii="mylotus" w:hAnsi="mylotus"/>
          <w:sz w:val="34"/>
          <w:szCs w:val="34"/>
          <w:rtl/>
        </w:rPr>
        <w:t>جتماع صغرى لمسألة اقتضاء النهي للفساد</w:t>
      </w:r>
      <w:r>
        <w:rPr>
          <w:rFonts w:ascii="mylotus" w:hAnsi="mylotus" w:hint="cs"/>
          <w:sz w:val="34"/>
          <w:szCs w:val="34"/>
          <w:rtl/>
        </w:rPr>
        <w:t>،</w:t>
      </w:r>
      <w:r w:rsidRPr="007467B1">
        <w:rPr>
          <w:rFonts w:ascii="mylotus" w:hAnsi="mylotus"/>
          <w:sz w:val="34"/>
          <w:szCs w:val="34"/>
          <w:rtl/>
        </w:rPr>
        <w:t xml:space="preserve"> حيث قال</w:t>
      </w:r>
      <w:r>
        <w:rPr>
          <w:rFonts w:ascii="mylotus" w:hAnsi="mylotus"/>
          <w:sz w:val="34"/>
          <w:szCs w:val="34"/>
          <w:rtl/>
        </w:rPr>
        <w:t xml:space="preserve"> </w:t>
      </w:r>
      <w:r w:rsidRPr="007467B1">
        <w:rPr>
          <w:rFonts w:ascii="mylotus" w:hAnsi="mylotus"/>
          <w:sz w:val="34"/>
          <w:szCs w:val="34"/>
          <w:rtl/>
        </w:rPr>
        <w:t>الآخوند</w:t>
      </w:r>
      <w:r>
        <w:rPr>
          <w:rFonts w:ascii="mylotus" w:hAnsi="mylotus"/>
          <w:sz w:val="34"/>
          <w:szCs w:val="34"/>
          <w:rtl/>
        </w:rPr>
        <w:t>:</w:t>
      </w:r>
      <w:r w:rsidRPr="007467B1">
        <w:rPr>
          <w:rFonts w:ascii="mylotus" w:hAnsi="mylotus"/>
          <w:sz w:val="34"/>
          <w:szCs w:val="34"/>
          <w:rtl/>
        </w:rPr>
        <w:t xml:space="preserve"> (بناء على الامتناع وتقديم النهي ستكون المسألة هنا صغرى لتلك المسألة)، بل حتى على القول بالامتناع وتقديم النهي على الأمر فإنه لا تكون مسألتنا صغرى لتلك المسألة</w:t>
      </w:r>
      <w:r w:rsidRPr="007467B1">
        <w:rPr>
          <w:rFonts w:ascii="mylotus" w:hAnsi="mylotus"/>
          <w:sz w:val="34"/>
          <w:szCs w:val="34"/>
        </w:rPr>
        <w:t>.</w:t>
      </w:r>
    </w:p>
    <w:p w14:paraId="3C1A4141" w14:textId="77777777" w:rsidR="007467B1" w:rsidRPr="007467B1" w:rsidRDefault="007467B1" w:rsidP="007467B1">
      <w:pPr>
        <w:pStyle w:val="a0"/>
        <w:bidi/>
        <w:spacing w:line="216" w:lineRule="auto"/>
        <w:rPr>
          <w:rFonts w:ascii="mylotus" w:hAnsi="mylotus"/>
          <w:b/>
          <w:bCs/>
          <w:sz w:val="34"/>
          <w:szCs w:val="34"/>
          <w:rtl/>
        </w:rPr>
      </w:pPr>
      <w:r w:rsidRPr="007467B1">
        <w:rPr>
          <w:rFonts w:ascii="mylotus" w:hAnsi="mylotus"/>
          <w:b/>
          <w:bCs/>
          <w:sz w:val="34"/>
          <w:szCs w:val="34"/>
          <w:rtl/>
        </w:rPr>
        <w:t>والسر في ذلك يبتني على مطلبين</w:t>
      </w:r>
      <w:r w:rsidRPr="007467B1">
        <w:rPr>
          <w:rFonts w:ascii="mylotus" w:hAnsi="mylotus"/>
          <w:b/>
          <w:bCs/>
          <w:sz w:val="34"/>
          <w:szCs w:val="34"/>
        </w:rPr>
        <w:t>:</w:t>
      </w:r>
    </w:p>
    <w:p w14:paraId="56462A56" w14:textId="0FDA5F2C" w:rsidR="007467B1" w:rsidRPr="007467B1" w:rsidRDefault="007467B1" w:rsidP="007467B1">
      <w:pPr>
        <w:pStyle w:val="a0"/>
        <w:bidi/>
        <w:spacing w:line="216" w:lineRule="auto"/>
        <w:rPr>
          <w:rFonts w:ascii="mylotus" w:hAnsi="mylotus"/>
          <w:sz w:val="34"/>
          <w:szCs w:val="34"/>
          <w:rtl/>
        </w:rPr>
      </w:pPr>
      <w:r w:rsidRPr="007467B1">
        <w:rPr>
          <w:rFonts w:ascii="mylotus" w:hAnsi="mylotus"/>
          <w:b/>
          <w:bCs/>
          <w:sz w:val="34"/>
          <w:szCs w:val="34"/>
          <w:rtl/>
        </w:rPr>
        <w:t>المطلب الأول:</w:t>
      </w:r>
      <w:r w:rsidRPr="007467B1">
        <w:rPr>
          <w:rFonts w:ascii="mylotus" w:hAnsi="mylotus"/>
          <w:sz w:val="34"/>
          <w:szCs w:val="34"/>
          <w:rtl/>
        </w:rPr>
        <w:t xml:space="preserve"> وهو أن مستند الفساد في مسألتنا يختلف عن مستند الفساد في مسألة اقتضاء النهي للفساد، فمستند الفساد في مسألتنا هو العلم بالنهي لا نفس النهي، أي إذا علم المكلف أن الوضوء بالماء المغصوب منهي عنه كان وضوؤه فاسداً، وأما إذا لم يعلم فوضوؤه صحيح. والسر في ذلك</w:t>
      </w:r>
      <w:r>
        <w:rPr>
          <w:rFonts w:ascii="mylotus" w:hAnsi="mylotus"/>
          <w:sz w:val="34"/>
          <w:szCs w:val="34"/>
          <w:rtl/>
        </w:rPr>
        <w:t>:</w:t>
      </w:r>
      <w:r w:rsidRPr="007467B1">
        <w:rPr>
          <w:rFonts w:ascii="mylotus" w:hAnsi="mylotus"/>
          <w:sz w:val="34"/>
          <w:szCs w:val="34"/>
          <w:rtl/>
        </w:rPr>
        <w:t xml:space="preserve"> أن المناط في صحة العبادة إمكان قصد التقرب، ومع التفات المكلف إلى أن العمل مبغوض -والمبغوض لا يصلح </w:t>
      </w:r>
      <w:proofErr w:type="spellStart"/>
      <w:r w:rsidRPr="007467B1">
        <w:rPr>
          <w:rFonts w:ascii="mylotus" w:hAnsi="mylotus"/>
          <w:sz w:val="34"/>
          <w:szCs w:val="34"/>
          <w:rtl/>
        </w:rPr>
        <w:t>للمقربية</w:t>
      </w:r>
      <w:proofErr w:type="spellEnd"/>
      <w:r w:rsidRPr="007467B1">
        <w:rPr>
          <w:rFonts w:ascii="mylotus" w:hAnsi="mylotus"/>
          <w:sz w:val="34"/>
          <w:szCs w:val="34"/>
          <w:rtl/>
        </w:rPr>
        <w:t>- يتعذر منه قصد التقرب</w:t>
      </w:r>
      <w:r w:rsidRPr="007467B1">
        <w:rPr>
          <w:rFonts w:ascii="mylotus" w:hAnsi="mylotus"/>
          <w:sz w:val="34"/>
          <w:szCs w:val="34"/>
        </w:rPr>
        <w:t>.</w:t>
      </w:r>
    </w:p>
    <w:p w14:paraId="5CD30945" w14:textId="4120B2A5" w:rsidR="007467B1" w:rsidRPr="007467B1" w:rsidRDefault="007467B1" w:rsidP="007467B1">
      <w:pPr>
        <w:pStyle w:val="a0"/>
        <w:bidi/>
        <w:spacing w:line="216" w:lineRule="auto"/>
        <w:rPr>
          <w:rFonts w:ascii="mylotus" w:hAnsi="mylotus"/>
          <w:sz w:val="34"/>
          <w:szCs w:val="34"/>
          <w:rtl/>
        </w:rPr>
      </w:pPr>
      <w:r w:rsidRPr="007467B1">
        <w:rPr>
          <w:rFonts w:ascii="mylotus" w:hAnsi="mylotus"/>
          <w:sz w:val="34"/>
          <w:szCs w:val="34"/>
          <w:rtl/>
        </w:rPr>
        <w:lastRenderedPageBreak/>
        <w:t>فمستند الفساد في مسألة اجتماع الأمر والنهي العلم بالنهي، بينما مستند الفساد في مسألة اقتضاء النهي للفساد نفس النهي بوجوده</w:t>
      </w:r>
      <w:r>
        <w:rPr>
          <w:rFonts w:ascii="mylotus" w:hAnsi="mylotus"/>
          <w:sz w:val="34"/>
          <w:szCs w:val="34"/>
          <w:rtl/>
        </w:rPr>
        <w:t xml:space="preserve"> الواقعي، علم المكلف أم لم يعلم</w:t>
      </w:r>
      <w:r>
        <w:rPr>
          <w:rFonts w:ascii="mylotus" w:hAnsi="mylotus" w:hint="cs"/>
          <w:sz w:val="34"/>
          <w:szCs w:val="34"/>
          <w:rtl/>
        </w:rPr>
        <w:t>.</w:t>
      </w:r>
      <w:r w:rsidRPr="007467B1">
        <w:rPr>
          <w:rFonts w:ascii="mylotus" w:hAnsi="mylotus"/>
          <w:sz w:val="34"/>
          <w:szCs w:val="34"/>
          <w:rtl/>
        </w:rPr>
        <w:t xml:space="preserve"> فلو أن المكلف صلى على خلاف التقية أو</w:t>
      </w:r>
      <w:r>
        <w:rPr>
          <w:rFonts w:ascii="mylotus" w:hAnsi="mylotus" w:hint="cs"/>
          <w:sz w:val="34"/>
          <w:szCs w:val="34"/>
          <w:rtl/>
        </w:rPr>
        <w:t xml:space="preserve"> </w:t>
      </w:r>
      <w:r w:rsidRPr="007467B1">
        <w:rPr>
          <w:rFonts w:ascii="mylotus" w:hAnsi="mylotus"/>
          <w:sz w:val="34"/>
          <w:szCs w:val="34"/>
          <w:rtl/>
        </w:rPr>
        <w:t>صام يوم عاشوراء غير ملتفت إلى النهي، بل معتقد بعدم النهي، فعبادته فاسدة، لأن الفساد مستند إلى نفس النهي بوجوده الواقعي، حيث إن النهي عن العبادة يكشف عن عدم الملاك فيها، بخلاف مسألة -اجتماع الأمر والنهي- بناء على</w:t>
      </w:r>
      <w:r>
        <w:rPr>
          <w:rFonts w:ascii="mylotus" w:hAnsi="mylotus"/>
          <w:sz w:val="34"/>
          <w:szCs w:val="34"/>
          <w:rtl/>
        </w:rPr>
        <w:t xml:space="preserve"> </w:t>
      </w:r>
      <w:r w:rsidRPr="007467B1">
        <w:rPr>
          <w:rFonts w:ascii="mylotus" w:hAnsi="mylotus"/>
          <w:sz w:val="34"/>
          <w:szCs w:val="34"/>
          <w:rtl/>
        </w:rPr>
        <w:t>الامتناع وتقدم النهي فإن النهي فيها لا يكشف عن عدم الملاك، وإنما بطلت العبادة لعدم إمكان التقرب بها</w:t>
      </w:r>
      <w:r w:rsidRPr="007467B1">
        <w:rPr>
          <w:rFonts w:ascii="mylotus" w:hAnsi="mylotus"/>
          <w:sz w:val="34"/>
          <w:szCs w:val="34"/>
        </w:rPr>
        <w:t>.</w:t>
      </w:r>
    </w:p>
    <w:p w14:paraId="34DD7658" w14:textId="3740BE5B" w:rsidR="00654323" w:rsidRDefault="007467B1" w:rsidP="007467B1">
      <w:pPr>
        <w:pStyle w:val="a0"/>
        <w:bidi/>
        <w:spacing w:line="216" w:lineRule="auto"/>
        <w:rPr>
          <w:rFonts w:ascii="mylotus" w:hAnsi="mylotus" w:hint="cs"/>
          <w:sz w:val="34"/>
          <w:szCs w:val="34"/>
          <w:rtl/>
        </w:rPr>
      </w:pPr>
      <w:r w:rsidRPr="007467B1">
        <w:rPr>
          <w:rFonts w:ascii="mylotus" w:hAnsi="mylotus"/>
          <w:sz w:val="34"/>
          <w:szCs w:val="34"/>
          <w:rtl/>
        </w:rPr>
        <w:t>ولذلك أفتى المشهور بصحة الصلاة في المكان المغصوب حال الغفلة والجهل القصوري بالحكم أو الموضوع، مع أن المورد من موارد اجتماع الأمر والنهي؛ وذلك لأن الملاك موجود، وإلا لو كان تقدم النهي لامتناع اجتماع الأمر والنهي كاشفاً عن عدم الملاك لما أفتوا بالصحة في هذه الموارد</w:t>
      </w:r>
      <w:r>
        <w:rPr>
          <w:rFonts w:ascii="mylotus" w:hAnsi="mylotus"/>
          <w:sz w:val="34"/>
          <w:szCs w:val="34"/>
          <w:rtl/>
        </w:rPr>
        <w:t>.</w:t>
      </w:r>
      <w:r w:rsidRPr="007467B1">
        <w:rPr>
          <w:rFonts w:ascii="mylotus" w:hAnsi="mylotus"/>
          <w:sz w:val="34"/>
          <w:szCs w:val="34"/>
          <w:rtl/>
        </w:rPr>
        <w:t xml:space="preserve"> ففتواهم بالصحة منبه على أن النهي في اجتماع الأمر والنهي وإن كان فعلياً لا يكشف عن عدم الملاك، بخلاف النهي عن العبادة فإنه يكشف عن انتفاء الملاك.</w:t>
      </w:r>
    </w:p>
    <w:p w14:paraId="4CE4967E" w14:textId="77777777" w:rsidR="007467B1" w:rsidRDefault="007467B1" w:rsidP="007467B1">
      <w:pPr>
        <w:pStyle w:val="a0"/>
        <w:bidi/>
        <w:spacing w:line="216" w:lineRule="auto"/>
        <w:rPr>
          <w:rFonts w:ascii="mylotus" w:hAnsi="mylotus"/>
          <w:sz w:val="34"/>
          <w:szCs w:val="34"/>
          <w:rtl/>
        </w:rPr>
      </w:pPr>
    </w:p>
    <w:p w14:paraId="2D24CFF0" w14:textId="577E88D3"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05555" w14:textId="77777777" w:rsidR="00846BF9" w:rsidRDefault="00846BF9" w:rsidP="00A5027D">
      <w:pPr>
        <w:spacing w:line="240" w:lineRule="auto"/>
      </w:pPr>
      <w:r>
        <w:separator/>
      </w:r>
    </w:p>
  </w:endnote>
  <w:endnote w:type="continuationSeparator" w:id="0">
    <w:p w14:paraId="29E314B6" w14:textId="77777777" w:rsidR="00846BF9" w:rsidRDefault="00846BF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lotus">
    <w:panose1 w:val="02000000000000000000"/>
    <w:charset w:val="00"/>
    <w:family w:val="auto"/>
    <w:pitch w:val="variable"/>
    <w:sig w:usb0="00002007" w:usb1="80000000" w:usb2="00000008" w:usb3="00000000" w:csb0="0000004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rPr>
            <w:lang w:bidi="ar-IQ"/>
          </w:rP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7467B1" w:rsidRPr="007467B1">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7EDE6" w14:textId="77777777" w:rsidR="00846BF9" w:rsidRDefault="00846BF9" w:rsidP="00A5027D">
      <w:pPr>
        <w:spacing w:line="240" w:lineRule="auto"/>
      </w:pPr>
      <w:r>
        <w:separator/>
      </w:r>
    </w:p>
  </w:footnote>
  <w:footnote w:type="continuationSeparator" w:id="0">
    <w:p w14:paraId="68CE29C3" w14:textId="77777777" w:rsidR="00846BF9" w:rsidRDefault="00846BF9"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F992FBD" w:rsidR="00B07F43" w:rsidRPr="005F7776" w:rsidRDefault="00B07F43" w:rsidP="00F9434C">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F9434C">
      <w:rPr>
        <w:rFonts w:ascii="mylotus" w:hAnsi="mylotus" w:cs="mylotus" w:hint="cs"/>
        <w:color w:val="FF0000"/>
        <w:sz w:val="26"/>
        <w:szCs w:val="26"/>
        <w:rtl/>
      </w:rPr>
      <w:t>21</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F9434C">
      <w:rPr>
        <w:rFonts w:ascii="mylotus" w:hAnsi="mylotus" w:cs="mylotus" w:hint="cs"/>
        <w:color w:val="FF0000"/>
        <w:sz w:val="26"/>
        <w:szCs w:val="26"/>
        <w:rtl/>
      </w:rPr>
      <w:t>اثنين</w:t>
    </w:r>
    <w:r w:rsidRPr="005F7776">
      <w:rPr>
        <w:rFonts w:ascii="mylotus" w:hAnsi="mylotus" w:cs="mylotus"/>
        <w:color w:val="FF0000"/>
        <w:sz w:val="26"/>
        <w:szCs w:val="26"/>
        <w:rtl/>
      </w:rPr>
      <w:t xml:space="preserve"> </w:t>
    </w:r>
    <w:r w:rsidR="00F9434C">
      <w:rPr>
        <w:rFonts w:ascii="mylotus" w:hAnsi="mylotus" w:cs="mylotus" w:hint="cs"/>
        <w:color w:val="FF0000"/>
        <w:sz w:val="26"/>
        <w:szCs w:val="26"/>
        <w:rtl/>
      </w:rPr>
      <w:t>30</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7467B1">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C008AC"/>
    <w:multiLevelType w:val="hybridMultilevel"/>
    <w:tmpl w:val="B3C65F24"/>
    <w:lvl w:ilvl="0" w:tplc="6D2250A2">
      <w:numFmt w:val="bullet"/>
      <w:lvlText w:val="-"/>
      <w:lvlJc w:val="left"/>
      <w:pPr>
        <w:ind w:left="757" w:hanging="360"/>
      </w:pPr>
      <w:rPr>
        <w:rFonts w:ascii="mylotus" w:eastAsia="Times New Roman" w:hAnsi="mylotus" w:cs="mylotu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488C"/>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54323"/>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467B1"/>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46BF9"/>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9434C"/>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9F41C-8192-43FC-B841-69650C3DF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201</TotalTime>
  <Pages>4</Pages>
  <Words>961</Words>
  <Characters>5478</Characters>
  <Application>Microsoft Office Word</Application>
  <DocSecurity>0</DocSecurity>
  <Lines>45</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2024-01-07T16:37:00Z</cp:lastPrinted>
  <dcterms:created xsi:type="dcterms:W3CDTF">2026-10-12T10:15:00Z</dcterms:created>
  <dcterms:modified xsi:type="dcterms:W3CDTF">2026-10-12T19:20:00Z</dcterms:modified>
</cp:coreProperties>
</file>