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47EEB606" w14:textId="2BC9DCAC" w:rsidR="00F6371D" w:rsidRDefault="00AC2737" w:rsidP="00830E4D">
      <w:pPr>
        <w:pStyle w:val="a0"/>
        <w:bidi/>
        <w:spacing w:line="216" w:lineRule="auto"/>
        <w:jc w:val="center"/>
        <w:rPr>
          <w:rFonts w:ascii="mylotus" w:hAnsi="mylotus" w:hint="cs"/>
          <w:b/>
          <w:bCs/>
          <w:sz w:val="34"/>
          <w:szCs w:val="34"/>
          <w:rtl/>
          <w:lang w:bidi="ar-IQ"/>
        </w:rPr>
      </w:pPr>
      <w:r w:rsidRPr="00EF47A8">
        <w:rPr>
          <w:rFonts w:ascii="mylotus" w:hAnsi="mylotus"/>
          <w:b/>
          <w:bCs/>
          <w:sz w:val="34"/>
          <w:szCs w:val="34"/>
          <w:rtl/>
        </w:rPr>
        <w:t>واللعن الدائم على أعدائهم أجمعين إلى قيام يوم الدين</w:t>
      </w:r>
    </w:p>
    <w:p w14:paraId="7A2379D0" w14:textId="77777777" w:rsidR="00F6371D" w:rsidRPr="00F6371D" w:rsidRDefault="00F6371D" w:rsidP="00F6371D">
      <w:pPr>
        <w:pStyle w:val="a0"/>
        <w:bidi/>
        <w:spacing w:line="216" w:lineRule="auto"/>
        <w:jc w:val="center"/>
        <w:rPr>
          <w:rFonts w:ascii="mylotus" w:hAnsi="mylotus" w:hint="cs"/>
          <w:sz w:val="34"/>
          <w:szCs w:val="34"/>
          <w:rtl/>
          <w:lang w:bidi="ar-IQ"/>
        </w:rPr>
      </w:pPr>
    </w:p>
    <w:p w14:paraId="45427370" w14:textId="28779DF3" w:rsidR="00281BF7" w:rsidRPr="00281BF7" w:rsidRDefault="00281BF7" w:rsidP="00281BF7">
      <w:pPr>
        <w:pStyle w:val="a0"/>
        <w:bidi/>
        <w:rPr>
          <w:rFonts w:ascii="mylotus" w:hAnsi="mylotus"/>
          <w:sz w:val="34"/>
          <w:szCs w:val="34"/>
          <w:rtl/>
          <w:lang w:bidi="ar-BH"/>
        </w:rPr>
      </w:pPr>
      <w:r w:rsidRPr="00281BF7">
        <w:rPr>
          <w:rFonts w:ascii="mylotus" w:hAnsi="mylotus"/>
          <w:b/>
          <w:bCs/>
          <w:sz w:val="34"/>
          <w:szCs w:val="34"/>
          <w:rtl/>
          <w:lang w:bidi="ar-BH"/>
        </w:rPr>
        <w:t>وحاصل ما</w:t>
      </w:r>
      <w:r w:rsidRPr="00281BF7">
        <w:rPr>
          <w:rFonts w:ascii="mylotus" w:hAnsi="mylotus" w:hint="cs"/>
          <w:b/>
          <w:bCs/>
          <w:sz w:val="34"/>
          <w:szCs w:val="34"/>
          <w:rtl/>
          <w:lang w:bidi="ar-BH"/>
        </w:rPr>
        <w:t xml:space="preserve"> </w:t>
      </w:r>
      <w:r w:rsidRPr="00281BF7">
        <w:rPr>
          <w:rFonts w:ascii="mylotus" w:hAnsi="mylotus"/>
          <w:b/>
          <w:bCs/>
          <w:sz w:val="34"/>
          <w:szCs w:val="34"/>
          <w:rtl/>
          <w:lang w:bidi="ar-BH"/>
        </w:rPr>
        <w:t>مضى:</w:t>
      </w:r>
      <w:r w:rsidRPr="00281BF7">
        <w:rPr>
          <w:rFonts w:ascii="mylotus" w:hAnsi="mylotus"/>
          <w:sz w:val="34"/>
          <w:szCs w:val="34"/>
          <w:rtl/>
          <w:lang w:bidi="ar-BH"/>
        </w:rPr>
        <w:t xml:space="preserve"> أن نظر العرف في تشخيص المصاديق حجة بمقتضى الإطلاق المقامي لأدلة الأحكام، وبما أن العرف العام في باب اجتماع الأمر والنهي يرى أن ما هو مصداق لمتعلق الأمر هو المصداق لمتعلق النهي</w:t>
      </w:r>
      <w:r>
        <w:rPr>
          <w:rFonts w:ascii="mylotus" w:hAnsi="mylotus"/>
          <w:sz w:val="34"/>
          <w:szCs w:val="34"/>
          <w:rtl/>
          <w:lang w:bidi="ar-BH"/>
        </w:rPr>
        <w:t>،</w:t>
      </w:r>
      <w:r w:rsidRPr="00281BF7">
        <w:rPr>
          <w:rFonts w:ascii="mylotus" w:hAnsi="mylotus"/>
          <w:sz w:val="34"/>
          <w:szCs w:val="34"/>
          <w:rtl/>
          <w:lang w:bidi="ar-BH"/>
        </w:rPr>
        <w:t xml:space="preserve"> فمقتضى ذلك امتناع اجتماع الأمر والنهي لتنافر البعث والزجر في المصداق الواحد</w:t>
      </w:r>
      <w:r>
        <w:rPr>
          <w:rFonts w:ascii="mylotus" w:hAnsi="mylotus"/>
          <w:sz w:val="34"/>
          <w:szCs w:val="34"/>
          <w:rtl/>
          <w:lang w:bidi="ar-BH"/>
        </w:rPr>
        <w:t>.</w:t>
      </w:r>
    </w:p>
    <w:p w14:paraId="21536D6D" w14:textId="3DE5FCB6"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و</w:t>
      </w:r>
      <w:r w:rsidRPr="00281BF7">
        <w:rPr>
          <w:rFonts w:ascii="mylotus" w:hAnsi="mylotus"/>
          <w:b/>
          <w:bCs/>
          <w:sz w:val="34"/>
          <w:szCs w:val="34"/>
          <w:rtl/>
          <w:lang w:bidi="ar-BH"/>
        </w:rPr>
        <w:t>لكن قد يشكل على ذلك</w:t>
      </w:r>
      <w:r>
        <w:rPr>
          <w:rFonts w:ascii="mylotus" w:hAnsi="mylotus"/>
          <w:b/>
          <w:bCs/>
          <w:sz w:val="34"/>
          <w:szCs w:val="34"/>
          <w:rtl/>
          <w:lang w:bidi="ar-BH"/>
        </w:rPr>
        <w:t>:</w:t>
      </w:r>
      <w:r w:rsidRPr="00281BF7">
        <w:rPr>
          <w:rFonts w:ascii="mylotus" w:hAnsi="mylotus"/>
          <w:sz w:val="34"/>
          <w:szCs w:val="34"/>
          <w:rtl/>
          <w:lang w:bidi="ar-BH"/>
        </w:rPr>
        <w:t xml:space="preserve"> بأن ما</w:t>
      </w:r>
      <w:r>
        <w:rPr>
          <w:rFonts w:ascii="mylotus" w:hAnsi="mylotus" w:hint="cs"/>
          <w:sz w:val="34"/>
          <w:szCs w:val="34"/>
          <w:rtl/>
          <w:lang w:bidi="ar-BH"/>
        </w:rPr>
        <w:t xml:space="preserve"> </w:t>
      </w:r>
      <w:r w:rsidRPr="00281BF7">
        <w:rPr>
          <w:rFonts w:ascii="mylotus" w:hAnsi="mylotus"/>
          <w:sz w:val="34"/>
          <w:szCs w:val="34"/>
          <w:rtl/>
          <w:lang w:bidi="ar-BH"/>
        </w:rPr>
        <w:t>يتصور أنه نظر للعرف في تشخيص المصداق إما مرجعه لتحديد المفهوم أو أنه ليس بمعقول</w:t>
      </w:r>
      <w:r>
        <w:rPr>
          <w:rFonts w:ascii="mylotus" w:hAnsi="mylotus"/>
          <w:sz w:val="34"/>
          <w:szCs w:val="34"/>
          <w:rtl/>
          <w:lang w:bidi="ar-BH"/>
        </w:rPr>
        <w:t>.</w:t>
      </w:r>
    </w:p>
    <w:p w14:paraId="1899AAFE" w14:textId="687692B0"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وبيان ذلك: أنه إذا قال المشرع مثلاً: (الدم نجس) وبنى العرف على أن الدم المجهري ليس بدم فلا تترتب عليه النجاسة ولا يحرم تناوله ضمن ماء أو غيره، فالعرف إما أن يرى أن مفهوم الدم المأخوذ في موضوع الأدلة أضيق دائرة من مفهوم الدم بالمعنى اللغوي، لذلك بنى على أن الدم المجهري ليس دماً، أي أن تشخيصه للمصداق متفرع على تحديده للمفهوم فنظره هذا حجة، لكن لا من باب التشخيص للمصداق بل من باب التحديد للمفهوم، ولا إشكال في حجية</w:t>
      </w:r>
      <w:r>
        <w:rPr>
          <w:rFonts w:ascii="mylotus" w:hAnsi="mylotus"/>
          <w:sz w:val="34"/>
          <w:szCs w:val="34"/>
          <w:rtl/>
          <w:lang w:bidi="ar-BH"/>
        </w:rPr>
        <w:t xml:space="preserve"> </w:t>
      </w:r>
      <w:r w:rsidRPr="00281BF7">
        <w:rPr>
          <w:rFonts w:ascii="mylotus" w:hAnsi="mylotus"/>
          <w:sz w:val="34"/>
          <w:szCs w:val="34"/>
          <w:rtl/>
          <w:lang w:bidi="ar-BH"/>
        </w:rPr>
        <w:t>تحديد العرف للمفاهيم</w:t>
      </w:r>
      <w:r w:rsidRPr="00281BF7">
        <w:rPr>
          <w:rFonts w:ascii="mylotus" w:hAnsi="mylotus"/>
          <w:sz w:val="34"/>
          <w:szCs w:val="34"/>
          <w:lang w:bidi="ar-BH"/>
        </w:rPr>
        <w:t>.</w:t>
      </w:r>
    </w:p>
    <w:p w14:paraId="5A41952F" w14:textId="49892688"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أو أن العرف يرى أن مفهوم الدم المأخوذ في لسان الأدلة واسع، لكنه مع اعترافه بأن المفهوم واسع يرى أن المصداق أضيق فهذا غير معقول؛ إذ مع التفاته إلى أن المفهوم</w:t>
      </w:r>
      <w:r>
        <w:rPr>
          <w:rFonts w:ascii="mylotus" w:hAnsi="mylotus"/>
          <w:sz w:val="34"/>
          <w:szCs w:val="34"/>
          <w:rtl/>
          <w:lang w:bidi="ar-BH"/>
        </w:rPr>
        <w:t xml:space="preserve"> </w:t>
      </w:r>
      <w:r w:rsidRPr="00281BF7">
        <w:rPr>
          <w:rFonts w:ascii="mylotus" w:hAnsi="mylotus"/>
          <w:sz w:val="34"/>
          <w:szCs w:val="34"/>
          <w:rtl/>
          <w:lang w:bidi="ar-BH"/>
        </w:rPr>
        <w:t>واسع فكيف يكون المفهوم واسعاً والمصداق أ</w:t>
      </w:r>
      <w:r>
        <w:rPr>
          <w:rFonts w:ascii="mylotus" w:hAnsi="mylotus"/>
          <w:sz w:val="34"/>
          <w:szCs w:val="34"/>
          <w:rtl/>
          <w:lang w:bidi="ar-BH"/>
        </w:rPr>
        <w:t xml:space="preserve">ضيق من ذلك؟! مع أن المصداق ليس </w:t>
      </w:r>
      <w:r>
        <w:rPr>
          <w:rFonts w:ascii="mylotus" w:hAnsi="mylotus" w:hint="cs"/>
          <w:sz w:val="34"/>
          <w:szCs w:val="34"/>
          <w:rtl/>
          <w:lang w:bidi="ar-BH"/>
        </w:rPr>
        <w:t>إ</w:t>
      </w:r>
      <w:r w:rsidRPr="00281BF7">
        <w:rPr>
          <w:rFonts w:ascii="mylotus" w:hAnsi="mylotus"/>
          <w:sz w:val="34"/>
          <w:szCs w:val="34"/>
          <w:rtl/>
          <w:lang w:bidi="ar-BH"/>
        </w:rPr>
        <w:t>لا انطباق المفهوم على الفرد فهذا غير معقول</w:t>
      </w:r>
      <w:r w:rsidRPr="00281BF7">
        <w:rPr>
          <w:rFonts w:ascii="mylotus" w:hAnsi="mylotus"/>
          <w:sz w:val="34"/>
          <w:szCs w:val="34"/>
          <w:lang w:bidi="ar-BH"/>
        </w:rPr>
        <w:t>.</w:t>
      </w:r>
    </w:p>
    <w:p w14:paraId="21050DC8" w14:textId="6A060BBD"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وكذلك في مثال الماء، فإن الماء المختلط بالطين بحد الخمس مثلاً</w:t>
      </w:r>
      <w:r>
        <w:rPr>
          <w:rFonts w:ascii="mylotus" w:hAnsi="mylotus"/>
          <w:sz w:val="34"/>
          <w:szCs w:val="34"/>
          <w:rtl/>
          <w:lang w:bidi="ar-BH"/>
        </w:rPr>
        <w:t xml:space="preserve"> </w:t>
      </w:r>
      <w:r w:rsidRPr="00281BF7">
        <w:rPr>
          <w:rFonts w:ascii="mylotus" w:hAnsi="mylotus"/>
          <w:sz w:val="34"/>
          <w:szCs w:val="34"/>
          <w:rtl/>
          <w:lang w:bidi="ar-BH"/>
        </w:rPr>
        <w:t>مما يرى العرف أنه ماء</w:t>
      </w:r>
      <w:r>
        <w:rPr>
          <w:rFonts w:ascii="mylotus" w:hAnsi="mylotus"/>
          <w:sz w:val="34"/>
          <w:szCs w:val="34"/>
          <w:rtl/>
          <w:lang w:bidi="ar-BH"/>
        </w:rPr>
        <w:t>،</w:t>
      </w:r>
      <w:r w:rsidRPr="00281BF7">
        <w:rPr>
          <w:rFonts w:ascii="mylotus" w:hAnsi="mylotus"/>
          <w:sz w:val="34"/>
          <w:szCs w:val="34"/>
          <w:rtl/>
          <w:lang w:bidi="ar-BH"/>
        </w:rPr>
        <w:t xml:space="preserve"> فإن بناءه على أنه ماء إما أن يرجع لحدود المفهوم، بمعنى أن العرف يرى أن مفهوم الماء</w:t>
      </w:r>
      <w:r>
        <w:rPr>
          <w:rFonts w:ascii="mylotus" w:hAnsi="mylotus"/>
          <w:sz w:val="34"/>
          <w:szCs w:val="34"/>
          <w:rtl/>
          <w:lang w:bidi="ar-BH"/>
        </w:rPr>
        <w:t xml:space="preserve"> </w:t>
      </w:r>
      <w:r w:rsidRPr="00281BF7">
        <w:rPr>
          <w:rFonts w:ascii="mylotus" w:hAnsi="mylotus"/>
          <w:sz w:val="34"/>
          <w:szCs w:val="34"/>
          <w:rtl/>
          <w:lang w:bidi="ar-BH"/>
        </w:rPr>
        <w:t xml:space="preserve">المأخوذ في لسان الأدلة هو أوسع من الماء بالمعنى اللغوي، فمرجع تشخيص المصداق إلى تحديد المفهوم، ونظر العرف في </w:t>
      </w:r>
      <w:r w:rsidRPr="00281BF7">
        <w:rPr>
          <w:rFonts w:ascii="mylotus" w:hAnsi="mylotus"/>
          <w:sz w:val="34"/>
          <w:szCs w:val="34"/>
          <w:rtl/>
          <w:lang w:bidi="ar-BH"/>
        </w:rPr>
        <w:lastRenderedPageBreak/>
        <w:t>تحديد المفهوم حجة. أو</w:t>
      </w:r>
      <w:r>
        <w:rPr>
          <w:rFonts w:ascii="mylotus" w:hAnsi="mylotus" w:hint="cs"/>
          <w:sz w:val="34"/>
          <w:szCs w:val="34"/>
          <w:rtl/>
          <w:lang w:bidi="ar-BH"/>
        </w:rPr>
        <w:t xml:space="preserve"> </w:t>
      </w:r>
      <w:r w:rsidRPr="00281BF7">
        <w:rPr>
          <w:rFonts w:ascii="mylotus" w:hAnsi="mylotus"/>
          <w:sz w:val="34"/>
          <w:szCs w:val="34"/>
          <w:rtl/>
          <w:lang w:bidi="ar-BH"/>
        </w:rPr>
        <w:t>أن العرف يعترف أن المفهوم ضيق ومع ذلك يرى صدقه على ماء الطين</w:t>
      </w:r>
      <w:r>
        <w:rPr>
          <w:rFonts w:ascii="mylotus" w:hAnsi="mylotus" w:hint="cs"/>
          <w:sz w:val="34"/>
          <w:szCs w:val="34"/>
          <w:rtl/>
          <w:lang w:bidi="ar-BH"/>
        </w:rPr>
        <w:t>،</w:t>
      </w:r>
      <w:bookmarkStart w:id="0" w:name="_GoBack"/>
      <w:bookmarkEnd w:id="0"/>
      <w:r w:rsidRPr="00281BF7">
        <w:rPr>
          <w:rFonts w:ascii="mylotus" w:hAnsi="mylotus"/>
          <w:sz w:val="34"/>
          <w:szCs w:val="34"/>
          <w:rtl/>
          <w:lang w:bidi="ar-BH"/>
        </w:rPr>
        <w:t xml:space="preserve"> وهذا غير معقول</w:t>
      </w:r>
      <w:r w:rsidRPr="00281BF7">
        <w:rPr>
          <w:rFonts w:ascii="mylotus" w:hAnsi="mylotus"/>
          <w:sz w:val="34"/>
          <w:szCs w:val="34"/>
          <w:lang w:bidi="ar-BH"/>
        </w:rPr>
        <w:t>.</w:t>
      </w:r>
    </w:p>
    <w:p w14:paraId="59EE8619" w14:textId="309EFFB2"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ولذلك ذكر سيدنا الخوئي قدس سره الشريف [كتاب الاجتهاد والتقليد - بحث العدالة والصغائر ص230] عند تعرضه لرأي المحقق الهمداني قدس سره -حيث بنى على أن</w:t>
      </w:r>
      <w:r>
        <w:rPr>
          <w:rFonts w:ascii="mylotus" w:hAnsi="mylotus"/>
          <w:sz w:val="34"/>
          <w:szCs w:val="34"/>
          <w:rtl/>
          <w:lang w:bidi="ar-BH"/>
        </w:rPr>
        <w:t>:</w:t>
      </w:r>
      <w:r w:rsidRPr="00281BF7">
        <w:rPr>
          <w:rFonts w:ascii="mylotus" w:hAnsi="mylotus"/>
          <w:sz w:val="34"/>
          <w:szCs w:val="34"/>
          <w:rtl/>
          <w:lang w:bidi="ar-BH"/>
        </w:rPr>
        <w:t xml:space="preserve"> (العدالة هي الاستقامة على جادة الشرع)، ولكن لو فعل المكلف الصغيرة عن عذر عرفي لاشرعي</w:t>
      </w:r>
      <w:r>
        <w:rPr>
          <w:rFonts w:ascii="mylotus" w:hAnsi="mylotus"/>
          <w:sz w:val="34"/>
          <w:szCs w:val="34"/>
          <w:rtl/>
          <w:lang w:bidi="ar-BH"/>
        </w:rPr>
        <w:t xml:space="preserve"> </w:t>
      </w:r>
      <w:r w:rsidRPr="00281BF7">
        <w:rPr>
          <w:rFonts w:ascii="mylotus" w:hAnsi="mylotus"/>
          <w:sz w:val="34"/>
          <w:szCs w:val="34"/>
          <w:rtl/>
          <w:lang w:bidi="ar-BH"/>
        </w:rPr>
        <w:t>كالحياء</w:t>
      </w:r>
      <w:r>
        <w:rPr>
          <w:rFonts w:ascii="mylotus" w:hAnsi="mylotus"/>
          <w:sz w:val="34"/>
          <w:szCs w:val="34"/>
          <w:rtl/>
          <w:lang w:bidi="ar-BH"/>
        </w:rPr>
        <w:t>،</w:t>
      </w:r>
      <w:r w:rsidRPr="00281BF7">
        <w:rPr>
          <w:rFonts w:ascii="mylotus" w:hAnsi="mylotus"/>
          <w:sz w:val="34"/>
          <w:szCs w:val="34"/>
          <w:rtl/>
          <w:lang w:bidi="ar-BH"/>
        </w:rPr>
        <w:t xml:space="preserve"> كما لو جلس في مجلس الغيبة</w:t>
      </w:r>
      <w:r>
        <w:rPr>
          <w:rFonts w:ascii="mylotus" w:hAnsi="mylotus"/>
          <w:sz w:val="34"/>
          <w:szCs w:val="34"/>
          <w:rtl/>
          <w:lang w:bidi="ar-BH"/>
        </w:rPr>
        <w:t xml:space="preserve"> </w:t>
      </w:r>
      <w:r w:rsidRPr="00281BF7">
        <w:rPr>
          <w:rFonts w:ascii="mylotus" w:hAnsi="mylotus"/>
          <w:sz w:val="34"/>
          <w:szCs w:val="34"/>
          <w:rtl/>
          <w:lang w:bidi="ar-BH"/>
        </w:rPr>
        <w:t>لا لعذر شرعي بل لعذر عرفي وهو الحياء، فإنه وإن ارتكب معصية لكنه مصداق تنزيلي للمستقيم على جادة الشرع بنظر العرف</w:t>
      </w:r>
      <w:r>
        <w:rPr>
          <w:rFonts w:ascii="mylotus" w:hAnsi="mylotus"/>
          <w:sz w:val="34"/>
          <w:szCs w:val="34"/>
          <w:rtl/>
          <w:lang w:bidi="ar-BH"/>
        </w:rPr>
        <w:t>،</w:t>
      </w:r>
      <w:r w:rsidRPr="00281BF7">
        <w:rPr>
          <w:rFonts w:ascii="mylotus" w:hAnsi="mylotus"/>
          <w:sz w:val="34"/>
          <w:szCs w:val="34"/>
          <w:rtl/>
          <w:lang w:bidi="ar-BH"/>
        </w:rPr>
        <w:t xml:space="preserve"> وممن ينطبق عليه العنوان الوارد في</w:t>
      </w:r>
      <w:r>
        <w:rPr>
          <w:rFonts w:ascii="mylotus" w:hAnsi="mylotus"/>
          <w:sz w:val="34"/>
          <w:szCs w:val="34"/>
          <w:rtl/>
          <w:lang w:bidi="ar-BH"/>
        </w:rPr>
        <w:t xml:space="preserve"> معتبرة عبد الله بن أبي يعفور [</w:t>
      </w:r>
      <w:r w:rsidRPr="00281BF7">
        <w:rPr>
          <w:rFonts w:ascii="mylotus" w:hAnsi="mylotus"/>
          <w:sz w:val="34"/>
          <w:szCs w:val="34"/>
          <w:rtl/>
          <w:lang w:bidi="ar-BH"/>
        </w:rPr>
        <w:t>وسائل ا</w:t>
      </w:r>
      <w:r>
        <w:rPr>
          <w:rFonts w:ascii="mylotus" w:hAnsi="mylotus"/>
          <w:sz w:val="34"/>
          <w:szCs w:val="34"/>
          <w:rtl/>
          <w:lang w:bidi="ar-BH"/>
        </w:rPr>
        <w:t>لشيعة 27: 391 أبواب الشهادات ب</w:t>
      </w:r>
      <w:r w:rsidRPr="00281BF7">
        <w:rPr>
          <w:rFonts w:ascii="mylotus" w:hAnsi="mylotus"/>
          <w:sz w:val="34"/>
          <w:szCs w:val="34"/>
          <w:rtl/>
          <w:lang w:bidi="ar-BH"/>
        </w:rPr>
        <w:t>41 ح1]</w:t>
      </w:r>
      <w:r>
        <w:rPr>
          <w:rFonts w:ascii="mylotus" w:hAnsi="mylotus"/>
          <w:sz w:val="34"/>
          <w:szCs w:val="34"/>
          <w:rtl/>
          <w:lang w:bidi="ar-BH"/>
        </w:rPr>
        <w:t>:</w:t>
      </w:r>
      <w:r w:rsidRPr="00281BF7">
        <w:rPr>
          <w:rFonts w:ascii="mylotus" w:hAnsi="mylotus"/>
          <w:sz w:val="34"/>
          <w:szCs w:val="34"/>
          <w:rtl/>
          <w:lang w:bidi="ar-BH"/>
        </w:rPr>
        <w:t xml:space="preserve"> (قلت لأبي عبد الله عليه السلام: بمَ تعرف عدالة الرجل بين المسلمين حتى تقبل شهادته لهم وعليهم؟ فقال: أن تعرفوه بالستر والعفاف وكف البطن والفرج واليد واللسان</w:t>
      </w:r>
      <w:r>
        <w:rPr>
          <w:rFonts w:ascii="mylotus" w:hAnsi="mylotus"/>
          <w:sz w:val="34"/>
          <w:szCs w:val="34"/>
          <w:rtl/>
          <w:lang w:bidi="ar-BH"/>
        </w:rPr>
        <w:t>،</w:t>
      </w:r>
      <w:r w:rsidRPr="00281BF7">
        <w:rPr>
          <w:rFonts w:ascii="mylotus" w:hAnsi="mylotus"/>
          <w:sz w:val="34"/>
          <w:szCs w:val="34"/>
          <w:rtl/>
          <w:lang w:bidi="ar-BH"/>
        </w:rPr>
        <w:t xml:space="preserve"> ويعرف باجتناب الكبائر التي أوعد الله عليها النار</w:t>
      </w:r>
      <w:r>
        <w:rPr>
          <w:rFonts w:ascii="mylotus" w:hAnsi="mylotus"/>
          <w:sz w:val="34"/>
          <w:szCs w:val="34"/>
          <w:rtl/>
          <w:lang w:bidi="ar-BH"/>
        </w:rPr>
        <w:t>)</w:t>
      </w:r>
      <w:r w:rsidRPr="00281BF7">
        <w:rPr>
          <w:rFonts w:ascii="mylotus" w:hAnsi="mylotus"/>
          <w:sz w:val="34"/>
          <w:szCs w:val="34"/>
          <w:rtl/>
          <w:lang w:bidi="ar-BH"/>
        </w:rPr>
        <w:t>)-.</w:t>
      </w:r>
      <w:r>
        <w:rPr>
          <w:rFonts w:ascii="mylotus" w:hAnsi="mylotus" w:hint="cs"/>
          <w:sz w:val="34"/>
          <w:szCs w:val="34"/>
          <w:rtl/>
          <w:lang w:bidi="ar-BH"/>
        </w:rPr>
        <w:t xml:space="preserve"> </w:t>
      </w:r>
      <w:r w:rsidRPr="00281BF7">
        <w:rPr>
          <w:rFonts w:ascii="mylotus" w:hAnsi="mylotus"/>
          <w:sz w:val="34"/>
          <w:szCs w:val="34"/>
          <w:rtl/>
          <w:lang w:bidi="ar-BH"/>
        </w:rPr>
        <w:t>فإنه معروف بالستر والعفاف وكف البطن والفرج واليد واللسان</w:t>
      </w:r>
      <w:r w:rsidRPr="00281BF7">
        <w:rPr>
          <w:rFonts w:ascii="mylotus" w:hAnsi="mylotus"/>
          <w:sz w:val="34"/>
          <w:szCs w:val="34"/>
          <w:lang w:bidi="ar-BH"/>
        </w:rPr>
        <w:t>.</w:t>
      </w:r>
    </w:p>
    <w:p w14:paraId="2E9B621F" w14:textId="529CF23E" w:rsidR="00281BF7" w:rsidRPr="00281BF7" w:rsidRDefault="00281BF7" w:rsidP="00281BF7">
      <w:pPr>
        <w:pStyle w:val="a0"/>
        <w:bidi/>
        <w:rPr>
          <w:rFonts w:ascii="mylotus" w:hAnsi="mylotus"/>
          <w:sz w:val="34"/>
          <w:szCs w:val="34"/>
          <w:rtl/>
          <w:lang w:bidi="ar-BH"/>
        </w:rPr>
      </w:pPr>
      <w:r>
        <w:rPr>
          <w:rFonts w:ascii="mylotus" w:hAnsi="mylotus"/>
          <w:sz w:val="34"/>
          <w:szCs w:val="34"/>
          <w:rtl/>
          <w:lang w:bidi="ar-BH"/>
        </w:rPr>
        <w:t>وقد أورد عليه سيدنا الخوئي قد</w:t>
      </w:r>
      <w:r>
        <w:rPr>
          <w:rFonts w:ascii="mylotus" w:hAnsi="mylotus" w:hint="cs"/>
          <w:sz w:val="34"/>
          <w:szCs w:val="34"/>
          <w:rtl/>
          <w:lang w:bidi="ar-BH"/>
        </w:rPr>
        <w:t xml:space="preserve">س سره </w:t>
      </w:r>
      <w:r>
        <w:rPr>
          <w:rFonts w:ascii="mylotus" w:hAnsi="mylotus"/>
          <w:sz w:val="34"/>
          <w:szCs w:val="34"/>
          <w:rtl/>
          <w:lang w:bidi="ar-BH"/>
        </w:rPr>
        <w:t>[</w:t>
      </w:r>
      <w:r>
        <w:rPr>
          <w:rFonts w:ascii="mylotus" w:hAnsi="mylotus" w:hint="cs"/>
          <w:sz w:val="34"/>
          <w:szCs w:val="34"/>
          <w:rtl/>
          <w:lang w:bidi="ar-BH"/>
        </w:rPr>
        <w:t xml:space="preserve">المصدر السابق </w:t>
      </w:r>
      <w:r>
        <w:rPr>
          <w:rFonts w:ascii="mylotus" w:hAnsi="mylotus"/>
          <w:sz w:val="34"/>
          <w:szCs w:val="34"/>
          <w:rtl/>
          <w:lang w:bidi="ar-BH"/>
        </w:rPr>
        <w:t>ص</w:t>
      </w:r>
      <w:r w:rsidRPr="00281BF7">
        <w:rPr>
          <w:rFonts w:ascii="mylotus" w:hAnsi="mylotus"/>
          <w:sz w:val="34"/>
          <w:szCs w:val="34"/>
          <w:rtl/>
          <w:lang w:bidi="ar-BH"/>
        </w:rPr>
        <w:t>232]</w:t>
      </w:r>
      <w:r>
        <w:rPr>
          <w:rFonts w:ascii="mylotus" w:hAnsi="mylotus"/>
          <w:sz w:val="34"/>
          <w:szCs w:val="34"/>
          <w:rtl/>
          <w:lang w:bidi="ar-BH"/>
        </w:rPr>
        <w:t>:</w:t>
      </w:r>
      <w:r w:rsidRPr="00281BF7">
        <w:rPr>
          <w:rFonts w:ascii="mylotus" w:hAnsi="mylotus"/>
          <w:sz w:val="34"/>
          <w:szCs w:val="34"/>
          <w:rtl/>
          <w:lang w:bidi="ar-BH"/>
        </w:rPr>
        <w:t xml:space="preserve"> بأن العذر العرفي إن بلغ مرتبة يراه الشارع عذرا</w:t>
      </w:r>
      <w:r>
        <w:rPr>
          <w:rFonts w:ascii="mylotus" w:hAnsi="mylotus" w:hint="cs"/>
          <w:sz w:val="34"/>
          <w:szCs w:val="34"/>
          <w:rtl/>
          <w:lang w:bidi="ar-BH"/>
        </w:rPr>
        <w:t>ً</w:t>
      </w:r>
      <w:r w:rsidRPr="00281BF7">
        <w:rPr>
          <w:rFonts w:ascii="mylotus" w:hAnsi="mylotus"/>
          <w:sz w:val="34"/>
          <w:szCs w:val="34"/>
          <w:rtl/>
          <w:lang w:bidi="ar-BH"/>
        </w:rPr>
        <w:t xml:space="preserve"> جاز له ارتكاب الذنب من دون فرق بين الصغيرة والكبيرة</w:t>
      </w:r>
      <w:r>
        <w:rPr>
          <w:rFonts w:ascii="mylotus" w:hAnsi="mylotus"/>
          <w:sz w:val="34"/>
          <w:szCs w:val="34"/>
          <w:rtl/>
          <w:lang w:bidi="ar-BH"/>
        </w:rPr>
        <w:t>،</w:t>
      </w:r>
      <w:r w:rsidRPr="00281BF7">
        <w:rPr>
          <w:rFonts w:ascii="mylotus" w:hAnsi="mylotus"/>
          <w:sz w:val="34"/>
          <w:szCs w:val="34"/>
          <w:rtl/>
          <w:lang w:bidi="ar-BH"/>
        </w:rPr>
        <w:t xml:space="preserve"> وإن لم يكن كذلك فارتكاب الصغيرة انحراف عن جادة الشرع</w:t>
      </w:r>
      <w:r>
        <w:rPr>
          <w:rFonts w:ascii="mylotus" w:hAnsi="mylotus"/>
          <w:sz w:val="34"/>
          <w:szCs w:val="34"/>
          <w:rtl/>
          <w:lang w:bidi="ar-BH"/>
        </w:rPr>
        <w:t>،</w:t>
      </w:r>
      <w:r w:rsidRPr="00281BF7">
        <w:rPr>
          <w:rFonts w:ascii="mylotus" w:hAnsi="mylotus"/>
          <w:sz w:val="34"/>
          <w:szCs w:val="34"/>
          <w:rtl/>
          <w:lang w:bidi="ar-BH"/>
        </w:rPr>
        <w:t xml:space="preserve"> ونظر العرف حجة في تحديد المفهوم دون المصداق</w:t>
      </w:r>
      <w:r>
        <w:rPr>
          <w:rFonts w:ascii="mylotus" w:hAnsi="mylotus"/>
          <w:sz w:val="34"/>
          <w:szCs w:val="34"/>
          <w:rtl/>
          <w:lang w:bidi="ar-BH"/>
        </w:rPr>
        <w:t>،</w:t>
      </w:r>
      <w:r w:rsidRPr="00281BF7">
        <w:rPr>
          <w:rFonts w:ascii="mylotus" w:hAnsi="mylotus"/>
          <w:sz w:val="34"/>
          <w:szCs w:val="34"/>
          <w:rtl/>
          <w:lang w:bidi="ar-BH"/>
        </w:rPr>
        <w:t xml:space="preserve"> وبالتالي فإن مفهوم </w:t>
      </w:r>
      <w:r>
        <w:rPr>
          <w:rFonts w:ascii="mylotus" w:hAnsi="mylotus"/>
          <w:sz w:val="34"/>
          <w:szCs w:val="34"/>
          <w:rtl/>
          <w:lang w:bidi="ar-BH"/>
        </w:rPr>
        <w:t>الستر والعفاف والكف والاستقامة</w:t>
      </w:r>
      <w:r w:rsidRPr="00281BF7">
        <w:rPr>
          <w:rFonts w:ascii="mylotus" w:hAnsi="mylotus"/>
          <w:sz w:val="34"/>
          <w:szCs w:val="34"/>
          <w:rtl/>
          <w:lang w:bidi="ar-BH"/>
        </w:rPr>
        <w:t xml:space="preserve"> إن كان واسعا</w:t>
      </w:r>
      <w:r>
        <w:rPr>
          <w:rFonts w:ascii="mylotus" w:hAnsi="mylotus" w:hint="cs"/>
          <w:sz w:val="34"/>
          <w:szCs w:val="34"/>
          <w:rtl/>
          <w:lang w:bidi="ar-BH"/>
        </w:rPr>
        <w:t>ً</w:t>
      </w:r>
      <w:r w:rsidRPr="00281BF7">
        <w:rPr>
          <w:rFonts w:ascii="mylotus" w:hAnsi="mylotus"/>
          <w:sz w:val="34"/>
          <w:szCs w:val="34"/>
          <w:rtl/>
          <w:lang w:bidi="ar-BH"/>
        </w:rPr>
        <w:t xml:space="preserve"> عرفا</w:t>
      </w:r>
      <w:r>
        <w:rPr>
          <w:rFonts w:ascii="mylotus" w:hAnsi="mylotus" w:hint="cs"/>
          <w:sz w:val="34"/>
          <w:szCs w:val="34"/>
          <w:rtl/>
          <w:lang w:bidi="ar-BH"/>
        </w:rPr>
        <w:t>ً</w:t>
      </w:r>
      <w:r w:rsidRPr="00281BF7">
        <w:rPr>
          <w:rFonts w:ascii="mylotus" w:hAnsi="mylotus"/>
          <w:sz w:val="34"/>
          <w:szCs w:val="34"/>
          <w:rtl/>
          <w:lang w:bidi="ar-BH"/>
        </w:rPr>
        <w:t xml:space="preserve"> يشمل من ارتكب الصغيرة عن حياء، فهذا من الرجوع إلى العرف في حدود المفهوم، وهذا لا كلام فيه، وإن ك</w:t>
      </w:r>
      <w:r>
        <w:rPr>
          <w:rFonts w:ascii="mylotus" w:hAnsi="mylotus"/>
          <w:sz w:val="34"/>
          <w:szCs w:val="34"/>
          <w:rtl/>
          <w:lang w:bidi="ar-BH"/>
        </w:rPr>
        <w:t>ان العرف ملتفتا</w:t>
      </w:r>
      <w:r>
        <w:rPr>
          <w:rFonts w:ascii="mylotus" w:hAnsi="mylotus" w:hint="cs"/>
          <w:sz w:val="34"/>
          <w:szCs w:val="34"/>
          <w:rtl/>
          <w:lang w:bidi="ar-BH"/>
        </w:rPr>
        <w:t>ً</w:t>
      </w:r>
      <w:r>
        <w:rPr>
          <w:rFonts w:ascii="mylotus" w:hAnsi="mylotus"/>
          <w:sz w:val="34"/>
          <w:szCs w:val="34"/>
          <w:rtl/>
          <w:lang w:bidi="ar-BH"/>
        </w:rPr>
        <w:t xml:space="preserve"> إلى أن مفهوم ال</w:t>
      </w:r>
      <w:r>
        <w:rPr>
          <w:rFonts w:ascii="mylotus" w:hAnsi="mylotus" w:hint="cs"/>
          <w:sz w:val="34"/>
          <w:szCs w:val="34"/>
          <w:rtl/>
          <w:lang w:bidi="ar-BH"/>
        </w:rPr>
        <w:t>ا</w:t>
      </w:r>
      <w:r w:rsidRPr="00281BF7">
        <w:rPr>
          <w:rFonts w:ascii="mylotus" w:hAnsi="mylotus"/>
          <w:sz w:val="34"/>
          <w:szCs w:val="34"/>
          <w:rtl/>
          <w:lang w:bidi="ar-BH"/>
        </w:rPr>
        <w:t>ستقامة ليس واسعا</w:t>
      </w:r>
      <w:r>
        <w:rPr>
          <w:rFonts w:ascii="mylotus" w:hAnsi="mylotus" w:hint="cs"/>
          <w:sz w:val="34"/>
          <w:szCs w:val="34"/>
          <w:rtl/>
          <w:lang w:bidi="ar-BH"/>
        </w:rPr>
        <w:t>ً</w:t>
      </w:r>
      <w:r w:rsidRPr="00281BF7">
        <w:rPr>
          <w:rFonts w:ascii="mylotus" w:hAnsi="mylotus"/>
          <w:sz w:val="34"/>
          <w:szCs w:val="34"/>
          <w:rtl/>
          <w:lang w:bidi="ar-BH"/>
        </w:rPr>
        <w:t xml:space="preserve"> في نفسه فنظر العرف بأن مرتكب الصغيرة لا عن عذر شرعي</w:t>
      </w:r>
      <w:r>
        <w:rPr>
          <w:rFonts w:ascii="mylotus" w:hAnsi="mylotus"/>
          <w:sz w:val="34"/>
          <w:szCs w:val="34"/>
          <w:rtl/>
          <w:lang w:bidi="ar-BH"/>
        </w:rPr>
        <w:t xml:space="preserve"> </w:t>
      </w:r>
      <w:r w:rsidRPr="00281BF7">
        <w:rPr>
          <w:rFonts w:ascii="mylotus" w:hAnsi="mylotus"/>
          <w:sz w:val="34"/>
          <w:szCs w:val="34"/>
          <w:rtl/>
          <w:lang w:bidi="ar-BH"/>
        </w:rPr>
        <w:t>مصداق للمستقيم غير معقول؛ أي لا يوجد مصداق تنزيلي؛ بل هو المفهوم إما واسع فهو مصداق حقيقي أو ضيق فليس بمصداق</w:t>
      </w:r>
      <w:r w:rsidRPr="00281BF7">
        <w:rPr>
          <w:rFonts w:ascii="mylotus" w:hAnsi="mylotus"/>
          <w:sz w:val="34"/>
          <w:szCs w:val="34"/>
          <w:lang w:bidi="ar-BH"/>
        </w:rPr>
        <w:t>.</w:t>
      </w:r>
    </w:p>
    <w:p w14:paraId="1A100E77" w14:textId="4A7C4956"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مما يعني أن ما</w:t>
      </w:r>
      <w:r>
        <w:rPr>
          <w:rFonts w:ascii="mylotus" w:hAnsi="mylotus" w:hint="cs"/>
          <w:sz w:val="34"/>
          <w:szCs w:val="34"/>
          <w:rtl/>
          <w:lang w:bidi="ar-BH"/>
        </w:rPr>
        <w:t xml:space="preserve"> </w:t>
      </w:r>
      <w:r w:rsidRPr="00281BF7">
        <w:rPr>
          <w:rFonts w:ascii="mylotus" w:hAnsi="mylotus"/>
          <w:sz w:val="34"/>
          <w:szCs w:val="34"/>
          <w:rtl/>
          <w:lang w:bidi="ar-BH"/>
        </w:rPr>
        <w:t xml:space="preserve">ذهب إليه المحقق الحائري، والسيد </w:t>
      </w:r>
      <w:proofErr w:type="spellStart"/>
      <w:r w:rsidRPr="00281BF7">
        <w:rPr>
          <w:rFonts w:ascii="mylotus" w:hAnsi="mylotus"/>
          <w:sz w:val="34"/>
          <w:szCs w:val="34"/>
          <w:rtl/>
          <w:lang w:bidi="ar-BH"/>
        </w:rPr>
        <w:t>الداماد</w:t>
      </w:r>
      <w:proofErr w:type="spellEnd"/>
      <w:r w:rsidRPr="00281BF7">
        <w:rPr>
          <w:rFonts w:ascii="mylotus" w:hAnsi="mylotus"/>
          <w:sz w:val="34"/>
          <w:szCs w:val="34"/>
          <w:rtl/>
          <w:lang w:bidi="ar-BH"/>
        </w:rPr>
        <w:t xml:space="preserve">، وبعض الأكابر، والسيد </w:t>
      </w:r>
      <w:proofErr w:type="spellStart"/>
      <w:r w:rsidRPr="00281BF7">
        <w:rPr>
          <w:rFonts w:ascii="mylotus" w:hAnsi="mylotus"/>
          <w:sz w:val="34"/>
          <w:szCs w:val="34"/>
          <w:rtl/>
          <w:lang w:bidi="ar-BH"/>
        </w:rPr>
        <w:t>الشبيري</w:t>
      </w:r>
      <w:proofErr w:type="spellEnd"/>
      <w:r w:rsidRPr="00281BF7">
        <w:rPr>
          <w:rFonts w:ascii="mylotus" w:hAnsi="mylotus"/>
          <w:sz w:val="34"/>
          <w:szCs w:val="34"/>
          <w:rtl/>
          <w:lang w:bidi="ar-BH"/>
        </w:rPr>
        <w:t xml:space="preserve"> </w:t>
      </w:r>
      <w:proofErr w:type="spellStart"/>
      <w:r w:rsidRPr="00281BF7">
        <w:rPr>
          <w:rFonts w:ascii="mylotus" w:hAnsi="mylotus"/>
          <w:sz w:val="34"/>
          <w:szCs w:val="34"/>
          <w:rtl/>
          <w:lang w:bidi="ar-BH"/>
        </w:rPr>
        <w:t>الزنجاني</w:t>
      </w:r>
      <w:proofErr w:type="spellEnd"/>
      <w:r w:rsidRPr="00281BF7">
        <w:rPr>
          <w:rFonts w:ascii="mylotus" w:hAnsi="mylotus"/>
          <w:sz w:val="34"/>
          <w:szCs w:val="34"/>
          <w:rtl/>
          <w:lang w:bidi="ar-BH"/>
        </w:rPr>
        <w:t xml:space="preserve"> قد</w:t>
      </w:r>
      <w:r>
        <w:rPr>
          <w:rFonts w:ascii="mylotus" w:hAnsi="mylotus" w:hint="cs"/>
          <w:sz w:val="34"/>
          <w:szCs w:val="34"/>
          <w:rtl/>
          <w:lang w:bidi="ar-BH"/>
        </w:rPr>
        <w:t>س سر</w:t>
      </w:r>
      <w:r w:rsidRPr="00281BF7">
        <w:rPr>
          <w:rFonts w:ascii="mylotus" w:hAnsi="mylotus"/>
          <w:sz w:val="34"/>
          <w:szCs w:val="34"/>
          <w:rtl/>
          <w:lang w:bidi="ar-BH"/>
        </w:rPr>
        <w:t>هم من أن مقتضى الإطلاق المقامي لأدلة التشريع</w:t>
      </w:r>
      <w:r>
        <w:rPr>
          <w:rFonts w:ascii="mylotus" w:hAnsi="mylotus"/>
          <w:sz w:val="34"/>
          <w:szCs w:val="34"/>
          <w:rtl/>
          <w:lang w:bidi="ar-BH"/>
        </w:rPr>
        <w:t>:</w:t>
      </w:r>
      <w:r w:rsidRPr="00281BF7">
        <w:rPr>
          <w:rFonts w:ascii="mylotus" w:hAnsi="mylotus"/>
          <w:sz w:val="34"/>
          <w:szCs w:val="34"/>
          <w:rtl/>
          <w:lang w:bidi="ar-BH"/>
        </w:rPr>
        <w:t xml:space="preserve"> أن نظر العرف في تشخيص المصداق حجة، غير تام إذ الإطلاق المقامي ممالا يحرز شموله لفرض اعتراف العرف بأن المفهوم ضيق لكنه يقوم بتوسعته في مجال الصدق، أو أن المفهوم واسع لكنه يقوم بتضييقه في مجال الصدق</w:t>
      </w:r>
      <w:r w:rsidRPr="00281BF7">
        <w:rPr>
          <w:rFonts w:ascii="mylotus" w:hAnsi="mylotus"/>
          <w:sz w:val="34"/>
          <w:szCs w:val="34"/>
          <w:lang w:bidi="ar-BH"/>
        </w:rPr>
        <w:t>.</w:t>
      </w:r>
    </w:p>
    <w:p w14:paraId="75079E7A" w14:textId="28F8E5E4" w:rsidR="00281BF7" w:rsidRPr="00281BF7" w:rsidRDefault="00281BF7" w:rsidP="00281BF7">
      <w:pPr>
        <w:pStyle w:val="a0"/>
        <w:bidi/>
        <w:rPr>
          <w:rFonts w:ascii="mylotus" w:hAnsi="mylotus"/>
          <w:sz w:val="34"/>
          <w:szCs w:val="34"/>
          <w:rtl/>
          <w:lang w:bidi="ar-BH"/>
        </w:rPr>
      </w:pPr>
      <w:r w:rsidRPr="00281BF7">
        <w:rPr>
          <w:rFonts w:ascii="mylotus" w:hAnsi="mylotus"/>
          <w:b/>
          <w:bCs/>
          <w:sz w:val="34"/>
          <w:szCs w:val="34"/>
          <w:rtl/>
          <w:lang w:bidi="ar-BH"/>
        </w:rPr>
        <w:t>فتلخص</w:t>
      </w:r>
      <w:r>
        <w:rPr>
          <w:rFonts w:ascii="mylotus" w:hAnsi="mylotus" w:hint="cs"/>
          <w:b/>
          <w:bCs/>
          <w:sz w:val="34"/>
          <w:szCs w:val="34"/>
          <w:rtl/>
          <w:lang w:bidi="ar-BH"/>
        </w:rPr>
        <w:t>:</w:t>
      </w:r>
      <w:r w:rsidRPr="00281BF7">
        <w:rPr>
          <w:rFonts w:ascii="mylotus" w:hAnsi="mylotus"/>
          <w:sz w:val="34"/>
          <w:szCs w:val="34"/>
          <w:rtl/>
          <w:lang w:bidi="ar-BH"/>
        </w:rPr>
        <w:t xml:space="preserve"> أن الرجوع للعرف في تشخيص أن مجمع الأمر والنهي واحد أو متعدد مما لا</w:t>
      </w:r>
      <w:r>
        <w:rPr>
          <w:rFonts w:ascii="mylotus" w:hAnsi="mylotus" w:hint="cs"/>
          <w:sz w:val="34"/>
          <w:szCs w:val="34"/>
          <w:rtl/>
          <w:lang w:bidi="ar-BH"/>
        </w:rPr>
        <w:t xml:space="preserve"> </w:t>
      </w:r>
      <w:r w:rsidRPr="00281BF7">
        <w:rPr>
          <w:rFonts w:ascii="mylotus" w:hAnsi="mylotus"/>
          <w:sz w:val="34"/>
          <w:szCs w:val="34"/>
          <w:rtl/>
          <w:lang w:bidi="ar-BH"/>
        </w:rPr>
        <w:t>اعتداد به</w:t>
      </w:r>
      <w:r>
        <w:rPr>
          <w:rFonts w:ascii="mylotus" w:hAnsi="mylotus"/>
          <w:sz w:val="34"/>
          <w:szCs w:val="34"/>
          <w:rtl/>
          <w:lang w:bidi="ar-BH"/>
        </w:rPr>
        <w:t>.</w:t>
      </w:r>
    </w:p>
    <w:p w14:paraId="4057B7D0" w14:textId="139EEAA8"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lastRenderedPageBreak/>
        <w:t>ولكن يمكن أن يقال كما ذكره السيد الشهيد قدس سره [البحوث ج</w:t>
      </w:r>
      <w:r>
        <w:rPr>
          <w:rFonts w:ascii="mylotus" w:hAnsi="mylotus"/>
          <w:sz w:val="34"/>
          <w:szCs w:val="34"/>
          <w:rtl/>
          <w:lang w:bidi="ar-BH"/>
        </w:rPr>
        <w:t>3 ص53] بأن البحث عن الإمكان وال</w:t>
      </w:r>
      <w:r>
        <w:rPr>
          <w:rFonts w:ascii="mylotus" w:hAnsi="mylotus" w:hint="cs"/>
          <w:sz w:val="34"/>
          <w:szCs w:val="34"/>
          <w:rtl/>
          <w:lang w:bidi="ar-BH"/>
        </w:rPr>
        <w:t>ا</w:t>
      </w:r>
      <w:r w:rsidRPr="00281BF7">
        <w:rPr>
          <w:rFonts w:ascii="mylotus" w:hAnsi="mylotus"/>
          <w:sz w:val="34"/>
          <w:szCs w:val="34"/>
          <w:rtl/>
          <w:lang w:bidi="ar-BH"/>
        </w:rPr>
        <w:t>متناع العرفي معقول و</w:t>
      </w:r>
      <w:r>
        <w:rPr>
          <w:rFonts w:ascii="mylotus" w:hAnsi="mylotus"/>
          <w:sz w:val="34"/>
          <w:szCs w:val="34"/>
          <w:rtl/>
          <w:lang w:bidi="ar-BH"/>
        </w:rPr>
        <w:t>مفيد فقهيا</w:t>
      </w:r>
      <w:r>
        <w:rPr>
          <w:rFonts w:ascii="mylotus" w:hAnsi="mylotus" w:hint="cs"/>
          <w:sz w:val="34"/>
          <w:szCs w:val="34"/>
          <w:rtl/>
          <w:lang w:bidi="ar-BH"/>
        </w:rPr>
        <w:t>ً</w:t>
      </w:r>
      <w:r>
        <w:rPr>
          <w:rFonts w:ascii="mylotus" w:hAnsi="mylotus"/>
          <w:sz w:val="34"/>
          <w:szCs w:val="34"/>
          <w:rtl/>
          <w:lang w:bidi="ar-BH"/>
        </w:rPr>
        <w:t>، فإن القول بال</w:t>
      </w:r>
      <w:r>
        <w:rPr>
          <w:rFonts w:ascii="mylotus" w:hAnsi="mylotus" w:hint="cs"/>
          <w:sz w:val="34"/>
          <w:szCs w:val="34"/>
          <w:rtl/>
          <w:lang w:bidi="ar-BH"/>
        </w:rPr>
        <w:t>ا</w:t>
      </w:r>
      <w:r w:rsidRPr="00281BF7">
        <w:rPr>
          <w:rFonts w:ascii="mylotus" w:hAnsi="mylotus"/>
          <w:sz w:val="34"/>
          <w:szCs w:val="34"/>
          <w:rtl/>
          <w:lang w:bidi="ar-BH"/>
        </w:rPr>
        <w:t>متناع العرفي ليس من الرجوع للعرف في تشخيص المصداق كي يقال بأن الرجوع للعرف في تشخيص المصداق ليس بحجة، بل من موارد تنقيح ما</w:t>
      </w:r>
      <w:r>
        <w:rPr>
          <w:rFonts w:ascii="mylotus" w:hAnsi="mylotus" w:hint="cs"/>
          <w:sz w:val="34"/>
          <w:szCs w:val="34"/>
          <w:rtl/>
          <w:lang w:bidi="ar-BH"/>
        </w:rPr>
        <w:t xml:space="preserve"> </w:t>
      </w:r>
      <w:r w:rsidRPr="00281BF7">
        <w:rPr>
          <w:rFonts w:ascii="mylotus" w:hAnsi="mylotus"/>
          <w:sz w:val="34"/>
          <w:szCs w:val="34"/>
          <w:rtl/>
          <w:lang w:bidi="ar-BH"/>
        </w:rPr>
        <w:t>هو مصداق للظهور الحجة</w:t>
      </w:r>
      <w:r>
        <w:rPr>
          <w:rFonts w:ascii="mylotus" w:hAnsi="mylotus"/>
          <w:sz w:val="34"/>
          <w:szCs w:val="34"/>
          <w:rtl/>
          <w:lang w:bidi="ar-BH"/>
        </w:rPr>
        <w:t>،</w:t>
      </w:r>
      <w:r w:rsidRPr="00281BF7">
        <w:rPr>
          <w:rFonts w:ascii="mylotus" w:hAnsi="mylotus"/>
          <w:sz w:val="34"/>
          <w:szCs w:val="34"/>
          <w:rtl/>
          <w:lang w:bidi="ar-BH"/>
        </w:rPr>
        <w:t xml:space="preserve"> بتقريب</w:t>
      </w:r>
      <w:r>
        <w:rPr>
          <w:rFonts w:ascii="mylotus" w:hAnsi="mylotus"/>
          <w:sz w:val="34"/>
          <w:szCs w:val="34"/>
          <w:rtl/>
          <w:lang w:bidi="ar-BH"/>
        </w:rPr>
        <w:t>:</w:t>
      </w:r>
      <w:r w:rsidRPr="00281BF7">
        <w:rPr>
          <w:rFonts w:ascii="mylotus" w:hAnsi="mylotus"/>
          <w:sz w:val="34"/>
          <w:szCs w:val="34"/>
          <w:rtl/>
          <w:lang w:bidi="ar-BH"/>
        </w:rPr>
        <w:t xml:space="preserve"> أن نظر العرف في تشخيص الم</w:t>
      </w:r>
      <w:r>
        <w:rPr>
          <w:rFonts w:ascii="mylotus" w:hAnsi="mylotus"/>
          <w:sz w:val="34"/>
          <w:szCs w:val="34"/>
          <w:rtl/>
          <w:lang w:bidi="ar-BH"/>
        </w:rPr>
        <w:t xml:space="preserve">صداق وإن لم يكن حجة كما أفيد، </w:t>
      </w:r>
      <w:r>
        <w:rPr>
          <w:rFonts w:ascii="mylotus" w:hAnsi="mylotus" w:hint="cs"/>
          <w:sz w:val="34"/>
          <w:szCs w:val="34"/>
          <w:rtl/>
          <w:lang w:bidi="ar-BH"/>
        </w:rPr>
        <w:t>إ</w:t>
      </w:r>
      <w:r w:rsidRPr="00281BF7">
        <w:rPr>
          <w:rFonts w:ascii="mylotus" w:hAnsi="mylotus"/>
          <w:sz w:val="34"/>
          <w:szCs w:val="34"/>
          <w:rtl/>
          <w:lang w:bidi="ar-BH"/>
        </w:rPr>
        <w:t>لا أنه لو فرض</w:t>
      </w:r>
      <w:r>
        <w:rPr>
          <w:rFonts w:ascii="mylotus" w:hAnsi="mylotus"/>
          <w:sz w:val="34"/>
          <w:szCs w:val="34"/>
          <w:rtl/>
          <w:lang w:bidi="ar-BH"/>
        </w:rPr>
        <w:t xml:space="preserve"> </w:t>
      </w:r>
      <w:r w:rsidRPr="00281BF7">
        <w:rPr>
          <w:rFonts w:ascii="mylotus" w:hAnsi="mylotus"/>
          <w:sz w:val="34"/>
          <w:szCs w:val="34"/>
          <w:rtl/>
          <w:lang w:bidi="ar-BH"/>
        </w:rPr>
        <w:t>كونه منشأ لمدلول التزامي لدليل الأمر أو النهي كان ذلك المدلول الالتزامي للأدلة من صغريات الظهور، والظهور حجة</w:t>
      </w:r>
      <w:r w:rsidRPr="00281BF7">
        <w:rPr>
          <w:rFonts w:ascii="mylotus" w:hAnsi="mylotus"/>
          <w:sz w:val="34"/>
          <w:szCs w:val="34"/>
          <w:lang w:bidi="ar-BH"/>
        </w:rPr>
        <w:t>.</w:t>
      </w:r>
    </w:p>
    <w:p w14:paraId="00338C65" w14:textId="0460E0DB"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وتوضيحه</w:t>
      </w:r>
      <w:r>
        <w:rPr>
          <w:rFonts w:ascii="mylotus" w:hAnsi="mylotus"/>
          <w:sz w:val="34"/>
          <w:szCs w:val="34"/>
          <w:rtl/>
          <w:lang w:bidi="ar-BH"/>
        </w:rPr>
        <w:t>:</w:t>
      </w:r>
      <w:r w:rsidRPr="00281BF7">
        <w:rPr>
          <w:rFonts w:ascii="mylotus" w:hAnsi="mylotus"/>
          <w:sz w:val="34"/>
          <w:szCs w:val="34"/>
          <w:rtl/>
          <w:lang w:bidi="ar-BH"/>
        </w:rPr>
        <w:t xml:space="preserve"> أن العرف إذا تلقى تكليفين: أمراً ونهياً؛ أمرا</w:t>
      </w:r>
      <w:r>
        <w:rPr>
          <w:rFonts w:ascii="mylotus" w:hAnsi="mylotus" w:hint="cs"/>
          <w:sz w:val="34"/>
          <w:szCs w:val="34"/>
          <w:rtl/>
          <w:lang w:bidi="ar-BH"/>
        </w:rPr>
        <w:t>ً</w:t>
      </w:r>
      <w:r w:rsidRPr="00281BF7">
        <w:rPr>
          <w:rFonts w:ascii="mylotus" w:hAnsi="mylotus"/>
          <w:sz w:val="34"/>
          <w:szCs w:val="34"/>
          <w:rtl/>
          <w:lang w:bidi="ar-BH"/>
        </w:rPr>
        <w:t xml:space="preserve"> بالوضوء، ونهيا</w:t>
      </w:r>
      <w:r>
        <w:rPr>
          <w:rFonts w:ascii="mylotus" w:hAnsi="mylotus" w:hint="cs"/>
          <w:sz w:val="34"/>
          <w:szCs w:val="34"/>
          <w:rtl/>
          <w:lang w:bidi="ar-BH"/>
        </w:rPr>
        <w:t>ً</w:t>
      </w:r>
      <w:r w:rsidRPr="00281BF7">
        <w:rPr>
          <w:rFonts w:ascii="mylotus" w:hAnsi="mylotus"/>
          <w:sz w:val="34"/>
          <w:szCs w:val="34"/>
          <w:rtl/>
          <w:lang w:bidi="ar-BH"/>
        </w:rPr>
        <w:t xml:space="preserve"> عن الغصب، فالمجمع له</w:t>
      </w:r>
      <w:r>
        <w:rPr>
          <w:rFonts w:ascii="mylotus" w:hAnsi="mylotus"/>
          <w:sz w:val="34"/>
          <w:szCs w:val="34"/>
          <w:rtl/>
          <w:lang w:bidi="ar-BH"/>
        </w:rPr>
        <w:t>ما وهو الوضوء بالمغصوب واحد، و</w:t>
      </w:r>
      <w:r>
        <w:rPr>
          <w:rFonts w:ascii="mylotus" w:hAnsi="mylotus" w:hint="cs"/>
          <w:sz w:val="34"/>
          <w:szCs w:val="34"/>
          <w:rtl/>
          <w:lang w:bidi="ar-BH"/>
        </w:rPr>
        <w:t>ا</w:t>
      </w:r>
      <w:r w:rsidRPr="00281BF7">
        <w:rPr>
          <w:rFonts w:ascii="mylotus" w:hAnsi="mylotus"/>
          <w:sz w:val="34"/>
          <w:szCs w:val="34"/>
          <w:rtl/>
          <w:lang w:bidi="ar-BH"/>
        </w:rPr>
        <w:t>جتماعهما فيه وإن لم به يوجد محذور عقلي؛ لأن ما هو مركز المحبوبية وهو الوضوء غير ما</w:t>
      </w:r>
      <w:r>
        <w:rPr>
          <w:rFonts w:ascii="mylotus" w:hAnsi="mylotus" w:hint="cs"/>
          <w:sz w:val="34"/>
          <w:szCs w:val="34"/>
          <w:rtl/>
          <w:lang w:bidi="ar-BH"/>
        </w:rPr>
        <w:t xml:space="preserve"> </w:t>
      </w:r>
      <w:r w:rsidRPr="00281BF7">
        <w:rPr>
          <w:rFonts w:ascii="mylotus" w:hAnsi="mylotus"/>
          <w:sz w:val="34"/>
          <w:szCs w:val="34"/>
          <w:rtl/>
          <w:lang w:bidi="ar-BH"/>
        </w:rPr>
        <w:t xml:space="preserve">هو مركز </w:t>
      </w:r>
      <w:proofErr w:type="spellStart"/>
      <w:r w:rsidRPr="00281BF7">
        <w:rPr>
          <w:rFonts w:ascii="mylotus" w:hAnsi="mylotus"/>
          <w:sz w:val="34"/>
          <w:szCs w:val="34"/>
          <w:rtl/>
          <w:lang w:bidi="ar-BH"/>
        </w:rPr>
        <w:t>المبغوضية</w:t>
      </w:r>
      <w:proofErr w:type="spellEnd"/>
      <w:r w:rsidRPr="00281BF7">
        <w:rPr>
          <w:rFonts w:ascii="mylotus" w:hAnsi="mylotus"/>
          <w:sz w:val="34"/>
          <w:szCs w:val="34"/>
          <w:rtl/>
          <w:lang w:bidi="ar-BH"/>
        </w:rPr>
        <w:t xml:space="preserve"> وهو الغصب، فلا يوجد تضاد في نفس الأمر والواقع كي يكون موجباً للامتناع العقلي،</w:t>
      </w:r>
      <w:r>
        <w:rPr>
          <w:rFonts w:ascii="mylotus" w:hAnsi="mylotus"/>
          <w:sz w:val="34"/>
          <w:szCs w:val="34"/>
          <w:rtl/>
          <w:lang w:bidi="ar-BH"/>
        </w:rPr>
        <w:t xml:space="preserve"> </w:t>
      </w:r>
      <w:r w:rsidRPr="00281BF7">
        <w:rPr>
          <w:rFonts w:ascii="mylotus" w:hAnsi="mylotus"/>
          <w:sz w:val="34"/>
          <w:szCs w:val="34"/>
          <w:rtl/>
          <w:lang w:bidi="ar-BH"/>
        </w:rPr>
        <w:t>ولكن مع</w:t>
      </w:r>
      <w:r>
        <w:rPr>
          <w:rFonts w:ascii="mylotus" w:hAnsi="mylotus"/>
          <w:sz w:val="34"/>
          <w:szCs w:val="34"/>
          <w:rtl/>
          <w:lang w:bidi="ar-BH"/>
        </w:rPr>
        <w:t xml:space="preserve"> ذلك هناك مشكلة في المصداق وهي </w:t>
      </w:r>
      <w:r w:rsidRPr="00281BF7">
        <w:rPr>
          <w:rFonts w:ascii="mylotus" w:hAnsi="mylotus"/>
          <w:sz w:val="34"/>
          <w:szCs w:val="34"/>
          <w:rtl/>
          <w:lang w:bidi="ar-BH"/>
        </w:rPr>
        <w:t>إما أن العرف لا</w:t>
      </w:r>
      <w:r>
        <w:rPr>
          <w:rFonts w:ascii="mylotus" w:hAnsi="mylotus" w:hint="cs"/>
          <w:sz w:val="34"/>
          <w:szCs w:val="34"/>
          <w:rtl/>
          <w:lang w:bidi="ar-BH"/>
        </w:rPr>
        <w:t xml:space="preserve"> </w:t>
      </w:r>
      <w:r w:rsidRPr="00281BF7">
        <w:rPr>
          <w:rFonts w:ascii="mylotus" w:hAnsi="mylotus"/>
          <w:sz w:val="34"/>
          <w:szCs w:val="34"/>
          <w:rtl/>
          <w:lang w:bidi="ar-BH"/>
        </w:rPr>
        <w:t>يتقبل كون المصداق متعددا</w:t>
      </w:r>
      <w:r>
        <w:rPr>
          <w:rFonts w:ascii="mylotus" w:hAnsi="mylotus" w:hint="cs"/>
          <w:sz w:val="34"/>
          <w:szCs w:val="34"/>
          <w:rtl/>
          <w:lang w:bidi="ar-BH"/>
        </w:rPr>
        <w:t>ً</w:t>
      </w:r>
      <w:r>
        <w:rPr>
          <w:rFonts w:ascii="mylotus" w:hAnsi="mylotus"/>
          <w:sz w:val="34"/>
          <w:szCs w:val="34"/>
          <w:rtl/>
          <w:lang w:bidi="ar-BH"/>
        </w:rPr>
        <w:t>،</w:t>
      </w:r>
      <w:r>
        <w:rPr>
          <w:rFonts w:ascii="mylotus" w:hAnsi="mylotus" w:hint="cs"/>
          <w:sz w:val="34"/>
          <w:szCs w:val="34"/>
          <w:rtl/>
          <w:lang w:bidi="ar-BH"/>
        </w:rPr>
        <w:t xml:space="preserve"> </w:t>
      </w:r>
      <w:r w:rsidRPr="00281BF7">
        <w:rPr>
          <w:rFonts w:ascii="mylotus" w:hAnsi="mylotus"/>
          <w:sz w:val="34"/>
          <w:szCs w:val="34"/>
          <w:rtl/>
          <w:lang w:bidi="ar-BH"/>
        </w:rPr>
        <w:t>بل يراه واحدا وأن التعدد نظر فلسفي خفي</w:t>
      </w:r>
      <w:r>
        <w:rPr>
          <w:rFonts w:ascii="mylotus" w:hAnsi="mylotus"/>
          <w:sz w:val="34"/>
          <w:szCs w:val="34"/>
          <w:rtl/>
          <w:lang w:bidi="ar-BH"/>
        </w:rPr>
        <w:t>،</w:t>
      </w:r>
      <w:r w:rsidRPr="00281BF7">
        <w:rPr>
          <w:rFonts w:ascii="mylotus" w:hAnsi="mylotus"/>
          <w:sz w:val="34"/>
          <w:szCs w:val="34"/>
          <w:rtl/>
          <w:lang w:bidi="ar-BH"/>
        </w:rPr>
        <w:t xml:space="preserve"> أو أن ما هو مصداق لمتعلق الأمر</w:t>
      </w:r>
      <w:r>
        <w:rPr>
          <w:rFonts w:ascii="mylotus" w:hAnsi="mylotus" w:hint="cs"/>
          <w:sz w:val="34"/>
          <w:szCs w:val="34"/>
          <w:rtl/>
          <w:lang w:bidi="ar-BH"/>
        </w:rPr>
        <w:t xml:space="preserve"> </w:t>
      </w:r>
      <w:r w:rsidRPr="00281BF7">
        <w:rPr>
          <w:rFonts w:ascii="mylotus" w:hAnsi="mylotus"/>
          <w:sz w:val="34"/>
          <w:szCs w:val="34"/>
          <w:rtl/>
          <w:lang w:bidi="ar-BH"/>
        </w:rPr>
        <w:t>-عقلاً- وإن كان غير ما هو مصداق لمتعلق النهي</w:t>
      </w:r>
      <w:r>
        <w:rPr>
          <w:rFonts w:ascii="mylotus" w:hAnsi="mylotus"/>
          <w:sz w:val="34"/>
          <w:szCs w:val="34"/>
          <w:rtl/>
          <w:lang w:bidi="ar-BH"/>
        </w:rPr>
        <w:t>،</w:t>
      </w:r>
      <w:r w:rsidRPr="00281BF7">
        <w:rPr>
          <w:rFonts w:ascii="mylotus" w:hAnsi="mylotus"/>
          <w:sz w:val="34"/>
          <w:szCs w:val="34"/>
          <w:rtl/>
          <w:lang w:bidi="ar-BH"/>
        </w:rPr>
        <w:t xml:space="preserve"> ولكن بما أن المجم</w:t>
      </w:r>
      <w:r>
        <w:rPr>
          <w:rFonts w:ascii="mylotus" w:hAnsi="mylotus"/>
          <w:sz w:val="34"/>
          <w:szCs w:val="34"/>
          <w:rtl/>
          <w:lang w:bidi="ar-BH"/>
        </w:rPr>
        <w:t>ع مما لا ينفك فيه تحقيق المصلحة لل</w:t>
      </w:r>
      <w:r>
        <w:rPr>
          <w:rFonts w:ascii="mylotus" w:hAnsi="mylotus" w:hint="cs"/>
          <w:sz w:val="34"/>
          <w:szCs w:val="34"/>
          <w:rtl/>
          <w:lang w:bidi="ar-BH"/>
        </w:rPr>
        <w:t>أ</w:t>
      </w:r>
      <w:r w:rsidRPr="00281BF7">
        <w:rPr>
          <w:rFonts w:ascii="mylotus" w:hAnsi="mylotus"/>
          <w:sz w:val="34"/>
          <w:szCs w:val="34"/>
          <w:rtl/>
          <w:lang w:bidi="ar-BH"/>
        </w:rPr>
        <w:t>مر</w:t>
      </w:r>
      <w:r>
        <w:rPr>
          <w:rFonts w:ascii="mylotus" w:hAnsi="mylotus"/>
          <w:sz w:val="34"/>
          <w:szCs w:val="34"/>
          <w:rtl/>
          <w:lang w:bidi="ar-BH"/>
        </w:rPr>
        <w:t xml:space="preserve"> </w:t>
      </w:r>
      <w:r w:rsidRPr="00281BF7">
        <w:rPr>
          <w:rFonts w:ascii="mylotus" w:hAnsi="mylotus"/>
          <w:sz w:val="34"/>
          <w:szCs w:val="34"/>
          <w:rtl/>
          <w:lang w:bidi="ar-BH"/>
        </w:rPr>
        <w:t>عن الإيقاع في المفسدة للنهي فذلك موجب لسراية النهي لمتعلق الأمر، ومقتضى سراية النهي لمتعلق الأمر هو التنافر بينهما. فهذا النظر العرفي وإن كان نظراً في المصداق، وليس بحجة، أ</w:t>
      </w:r>
      <w:r>
        <w:rPr>
          <w:rFonts w:ascii="mylotus" w:hAnsi="mylotus"/>
          <w:sz w:val="34"/>
          <w:szCs w:val="34"/>
          <w:rtl/>
          <w:lang w:bidi="ar-BH"/>
        </w:rPr>
        <w:t>و كان مبنيا</w:t>
      </w:r>
      <w:r>
        <w:rPr>
          <w:rFonts w:ascii="mylotus" w:hAnsi="mylotus" w:hint="cs"/>
          <w:sz w:val="34"/>
          <w:szCs w:val="34"/>
          <w:rtl/>
          <w:lang w:bidi="ar-BH"/>
        </w:rPr>
        <w:t>ً</w:t>
      </w:r>
      <w:r>
        <w:rPr>
          <w:rFonts w:ascii="mylotus" w:hAnsi="mylotus"/>
          <w:sz w:val="34"/>
          <w:szCs w:val="34"/>
          <w:rtl/>
          <w:lang w:bidi="ar-BH"/>
        </w:rPr>
        <w:t xml:space="preserve"> على وجه غير ناهض لل</w:t>
      </w:r>
      <w:r>
        <w:rPr>
          <w:rFonts w:ascii="mylotus" w:hAnsi="mylotus" w:hint="cs"/>
          <w:sz w:val="34"/>
          <w:szCs w:val="34"/>
          <w:rtl/>
          <w:lang w:bidi="ar-BH"/>
        </w:rPr>
        <w:t>ا</w:t>
      </w:r>
      <w:r w:rsidRPr="00281BF7">
        <w:rPr>
          <w:rFonts w:ascii="mylotus" w:hAnsi="mylotus"/>
          <w:sz w:val="34"/>
          <w:szCs w:val="34"/>
          <w:rtl/>
          <w:lang w:bidi="ar-BH"/>
        </w:rPr>
        <w:t>متناع</w:t>
      </w:r>
      <w:r>
        <w:rPr>
          <w:rFonts w:ascii="mylotus" w:hAnsi="mylotus"/>
          <w:sz w:val="34"/>
          <w:szCs w:val="34"/>
          <w:rtl/>
          <w:lang w:bidi="ar-BH"/>
        </w:rPr>
        <w:t>،</w:t>
      </w:r>
      <w:r w:rsidRPr="00281BF7">
        <w:rPr>
          <w:rFonts w:ascii="mylotus" w:hAnsi="mylotus"/>
          <w:sz w:val="34"/>
          <w:szCs w:val="34"/>
          <w:rtl/>
          <w:lang w:bidi="ar-BH"/>
        </w:rPr>
        <w:t xml:space="preserve"> لكنه صار سبباً ومنشأً لمدلول التزامي للأمر، وهو الأمر بالوضوء، وهذا المدلول الالتزامي، وهو أن الأمر بالوضوء متقيد بالحصة المباحة، أي أنه دال بال</w:t>
      </w:r>
      <w:r>
        <w:rPr>
          <w:rFonts w:ascii="mylotus" w:hAnsi="mylotus"/>
          <w:sz w:val="34"/>
          <w:szCs w:val="34"/>
          <w:rtl/>
          <w:lang w:bidi="ar-BH"/>
        </w:rPr>
        <w:t>دلالة ال</w:t>
      </w:r>
      <w:r>
        <w:rPr>
          <w:rFonts w:ascii="mylotus" w:hAnsi="mylotus" w:hint="cs"/>
          <w:sz w:val="34"/>
          <w:szCs w:val="34"/>
          <w:rtl/>
          <w:lang w:bidi="ar-BH"/>
        </w:rPr>
        <w:t>ا</w:t>
      </w:r>
      <w:r w:rsidRPr="00281BF7">
        <w:rPr>
          <w:rFonts w:ascii="mylotus" w:hAnsi="mylotus"/>
          <w:sz w:val="34"/>
          <w:szCs w:val="34"/>
          <w:rtl/>
          <w:lang w:bidi="ar-BH"/>
        </w:rPr>
        <w:t>لتزامية على اختصاصه بغير الفرد المحرم</w:t>
      </w:r>
      <w:r>
        <w:rPr>
          <w:rFonts w:ascii="mylotus" w:hAnsi="mylotus"/>
          <w:sz w:val="34"/>
          <w:szCs w:val="34"/>
          <w:rtl/>
          <w:lang w:bidi="ar-BH"/>
        </w:rPr>
        <w:t>.</w:t>
      </w:r>
      <w:r w:rsidRPr="00281BF7">
        <w:rPr>
          <w:rFonts w:ascii="mylotus" w:hAnsi="mylotus"/>
          <w:sz w:val="34"/>
          <w:szCs w:val="34"/>
          <w:rtl/>
          <w:lang w:bidi="ar-BH"/>
        </w:rPr>
        <w:t xml:space="preserve"> والنتيجة</w:t>
      </w:r>
      <w:r>
        <w:rPr>
          <w:rFonts w:ascii="mylotus" w:hAnsi="mylotus"/>
          <w:sz w:val="34"/>
          <w:szCs w:val="34"/>
          <w:rtl/>
          <w:lang w:bidi="ar-BH"/>
        </w:rPr>
        <w:t>:</w:t>
      </w:r>
      <w:r w:rsidRPr="00281BF7">
        <w:rPr>
          <w:rFonts w:ascii="mylotus" w:hAnsi="mylotus"/>
          <w:sz w:val="34"/>
          <w:szCs w:val="34"/>
          <w:rtl/>
          <w:lang w:bidi="ar-BH"/>
        </w:rPr>
        <w:t xml:space="preserve"> أن نظر العرف في المصداق الذي ليس بحجة</w:t>
      </w:r>
      <w:r>
        <w:rPr>
          <w:rFonts w:ascii="mylotus" w:hAnsi="mylotus"/>
          <w:sz w:val="34"/>
          <w:szCs w:val="34"/>
          <w:rtl/>
          <w:lang w:bidi="ar-BH"/>
        </w:rPr>
        <w:t xml:space="preserve"> </w:t>
      </w:r>
      <w:r w:rsidRPr="00281BF7">
        <w:rPr>
          <w:rFonts w:ascii="mylotus" w:hAnsi="mylotus"/>
          <w:sz w:val="34"/>
          <w:szCs w:val="34"/>
          <w:rtl/>
          <w:lang w:bidi="ar-BH"/>
        </w:rPr>
        <w:t>صار منشأً لحدوث ظهور وذلك الظهور حجة</w:t>
      </w:r>
      <w:r w:rsidRPr="00281BF7">
        <w:rPr>
          <w:rFonts w:ascii="mylotus" w:hAnsi="mylotus"/>
          <w:sz w:val="34"/>
          <w:szCs w:val="34"/>
          <w:lang w:bidi="ar-BH"/>
        </w:rPr>
        <w:t>.</w:t>
      </w:r>
    </w:p>
    <w:p w14:paraId="549DAC66" w14:textId="77777777"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فصار للبحث في الامتناع العرفي ثمرة، لا أن البحث في الامتناع العرفي لا ثمرة له؛ لأنه رجوع إلى العرف في تشخيص المصداق، والرجوع إلى العرف في تشخيص المصداق ليس بحجة</w:t>
      </w:r>
      <w:r w:rsidRPr="00281BF7">
        <w:rPr>
          <w:rFonts w:ascii="mylotus" w:hAnsi="mylotus"/>
          <w:sz w:val="34"/>
          <w:szCs w:val="34"/>
          <w:lang w:bidi="ar-BH"/>
        </w:rPr>
        <w:t>.</w:t>
      </w:r>
    </w:p>
    <w:p w14:paraId="3FEB9741" w14:textId="5EC41CD7" w:rsidR="00281BF7" w:rsidRPr="00281BF7" w:rsidRDefault="00281BF7" w:rsidP="00281BF7">
      <w:pPr>
        <w:pStyle w:val="a0"/>
        <w:bidi/>
        <w:rPr>
          <w:rFonts w:ascii="mylotus" w:hAnsi="mylotus"/>
          <w:sz w:val="34"/>
          <w:szCs w:val="34"/>
          <w:rtl/>
          <w:lang w:bidi="ar-BH"/>
        </w:rPr>
      </w:pPr>
      <w:r w:rsidRPr="00281BF7">
        <w:rPr>
          <w:rFonts w:ascii="mylotus" w:hAnsi="mylotus"/>
          <w:b/>
          <w:bCs/>
          <w:sz w:val="34"/>
          <w:szCs w:val="34"/>
          <w:rtl/>
          <w:lang w:bidi="ar-BH"/>
        </w:rPr>
        <w:t>فإن قلت:</w:t>
      </w:r>
      <w:r w:rsidRPr="00281BF7">
        <w:rPr>
          <w:rFonts w:ascii="mylotus" w:hAnsi="mylotus"/>
          <w:sz w:val="34"/>
          <w:szCs w:val="34"/>
          <w:rtl/>
          <w:lang w:bidi="ar-BH"/>
        </w:rPr>
        <w:t xml:space="preserve"> -كما في كلمات سيدنا الخوئي [في المحاضرات ج3 ص381]- إذا كان الأمر -وهو الأمر بالوضوء- ظاهراً في عدم الشمول للوضوء بالماء المغصوب خرج عن محل البحث</w:t>
      </w:r>
      <w:r>
        <w:rPr>
          <w:rFonts w:ascii="mylotus" w:hAnsi="mylotus"/>
          <w:sz w:val="34"/>
          <w:szCs w:val="34"/>
          <w:rtl/>
          <w:lang w:bidi="ar-BH"/>
        </w:rPr>
        <w:t>،</w:t>
      </w:r>
      <w:r>
        <w:rPr>
          <w:rFonts w:ascii="mylotus" w:hAnsi="mylotus" w:hint="cs"/>
          <w:sz w:val="34"/>
          <w:szCs w:val="34"/>
          <w:rtl/>
          <w:lang w:bidi="ar-BH"/>
        </w:rPr>
        <w:t xml:space="preserve"> </w:t>
      </w:r>
      <w:r w:rsidRPr="00281BF7">
        <w:rPr>
          <w:rFonts w:ascii="mylotus" w:hAnsi="mylotus"/>
          <w:sz w:val="34"/>
          <w:szCs w:val="34"/>
          <w:rtl/>
          <w:lang w:bidi="ar-BH"/>
        </w:rPr>
        <w:t xml:space="preserve">لأن محل البحث في اجتماع الأمر والنهي فرع الإطلاقين، أي أن يكون للنهي إطلاق وللأمر إطلاق للمجمع، </w:t>
      </w:r>
      <w:r w:rsidRPr="00281BF7">
        <w:rPr>
          <w:rFonts w:ascii="mylotus" w:hAnsi="mylotus"/>
          <w:sz w:val="34"/>
          <w:szCs w:val="34"/>
          <w:rtl/>
          <w:lang w:bidi="ar-BH"/>
        </w:rPr>
        <w:lastRenderedPageBreak/>
        <w:t>فإذا كان لهما إطلاق كي يتصور</w:t>
      </w:r>
      <w:r>
        <w:rPr>
          <w:rFonts w:ascii="mylotus" w:hAnsi="mylotus"/>
          <w:sz w:val="34"/>
          <w:szCs w:val="34"/>
          <w:rtl/>
          <w:lang w:bidi="ar-BH"/>
        </w:rPr>
        <w:t xml:space="preserve"> </w:t>
      </w:r>
      <w:r w:rsidRPr="00281BF7">
        <w:rPr>
          <w:rFonts w:ascii="mylotus" w:hAnsi="mylotus"/>
          <w:sz w:val="34"/>
          <w:szCs w:val="34"/>
          <w:rtl/>
          <w:lang w:bidi="ar-BH"/>
        </w:rPr>
        <w:t>البحث: في أنه هل اجتماع الأمر والنهي ممكن أم ممتنع؟ وأما إذا افترض أن الأمر ظاهر في عدم الشمول للحصة المغصوبة، خرج عن موضوع النزاع</w:t>
      </w:r>
      <w:r w:rsidRPr="00281BF7">
        <w:rPr>
          <w:rFonts w:ascii="mylotus" w:hAnsi="mylotus"/>
          <w:sz w:val="34"/>
          <w:szCs w:val="34"/>
          <w:lang w:bidi="ar-BH"/>
        </w:rPr>
        <w:t>.</w:t>
      </w:r>
    </w:p>
    <w:p w14:paraId="4C166471" w14:textId="383BC277" w:rsidR="00281BF7" w:rsidRPr="00281BF7" w:rsidRDefault="00281BF7" w:rsidP="00281BF7">
      <w:pPr>
        <w:pStyle w:val="a0"/>
        <w:bidi/>
        <w:rPr>
          <w:rFonts w:ascii="mylotus" w:hAnsi="mylotus"/>
          <w:sz w:val="34"/>
          <w:szCs w:val="34"/>
          <w:rtl/>
          <w:lang w:bidi="ar-BH"/>
        </w:rPr>
      </w:pPr>
      <w:r w:rsidRPr="00281BF7">
        <w:rPr>
          <w:rFonts w:ascii="mylotus" w:hAnsi="mylotus"/>
          <w:b/>
          <w:bCs/>
          <w:sz w:val="34"/>
          <w:szCs w:val="34"/>
          <w:rtl/>
          <w:lang w:bidi="ar-BH"/>
        </w:rPr>
        <w:t>قلت:</w:t>
      </w:r>
      <w:r w:rsidRPr="00281BF7">
        <w:rPr>
          <w:rFonts w:ascii="mylotus" w:hAnsi="mylotus"/>
          <w:sz w:val="34"/>
          <w:szCs w:val="34"/>
          <w:rtl/>
          <w:lang w:bidi="ar-BH"/>
        </w:rPr>
        <w:t xml:space="preserve"> لو كان المدعى أن الأمر ظاهر ابتداءً في عدم الشمول للحصة </w:t>
      </w:r>
      <w:proofErr w:type="spellStart"/>
      <w:r w:rsidRPr="00281BF7">
        <w:rPr>
          <w:rFonts w:ascii="mylotus" w:hAnsi="mylotus"/>
          <w:sz w:val="34"/>
          <w:szCs w:val="34"/>
          <w:rtl/>
          <w:lang w:bidi="ar-BH"/>
        </w:rPr>
        <w:t>الغصبية</w:t>
      </w:r>
      <w:proofErr w:type="spellEnd"/>
      <w:r w:rsidRPr="00281BF7">
        <w:rPr>
          <w:rFonts w:ascii="mylotus" w:hAnsi="mylotus"/>
          <w:sz w:val="34"/>
          <w:szCs w:val="34"/>
          <w:rtl/>
          <w:lang w:bidi="ar-BH"/>
        </w:rPr>
        <w:t xml:space="preserve"> لتم كلام سيدنا الخوئي قدس سره، لكن مدعى من يقول بالامتناع العرفي أنه</w:t>
      </w:r>
      <w:r>
        <w:rPr>
          <w:rFonts w:ascii="mylotus" w:hAnsi="mylotus"/>
          <w:sz w:val="34"/>
          <w:szCs w:val="34"/>
          <w:rtl/>
          <w:lang w:bidi="ar-BH"/>
        </w:rPr>
        <w:t>:</w:t>
      </w:r>
      <w:r w:rsidRPr="00281BF7">
        <w:rPr>
          <w:rFonts w:ascii="mylotus" w:hAnsi="mylotus"/>
          <w:sz w:val="34"/>
          <w:szCs w:val="34"/>
          <w:rtl/>
          <w:lang w:bidi="ar-BH"/>
        </w:rPr>
        <w:t xml:space="preserve"> بعد بناء العرف على الامتناع؛</w:t>
      </w:r>
      <w:r>
        <w:rPr>
          <w:rFonts w:ascii="mylotus" w:hAnsi="mylotus"/>
          <w:sz w:val="34"/>
          <w:szCs w:val="34"/>
          <w:rtl/>
          <w:lang w:bidi="ar-BH"/>
        </w:rPr>
        <w:t xml:space="preserve"> </w:t>
      </w:r>
      <w:r w:rsidRPr="00281BF7">
        <w:rPr>
          <w:rFonts w:ascii="mylotus" w:hAnsi="mylotus"/>
          <w:sz w:val="34"/>
          <w:szCs w:val="34"/>
          <w:rtl/>
          <w:lang w:bidi="ar-BH"/>
        </w:rPr>
        <w:t>لمشكلة في المصداق صار نظر العرف منشأً لهذا الظهور الالتزامي، فهو ظهور في طول القول بالامتناع العرفي، لا أنه ظهور ابتدائي كي يوجب خروجه عن محل النزاع</w:t>
      </w:r>
      <w:r w:rsidRPr="00281BF7">
        <w:rPr>
          <w:rFonts w:ascii="mylotus" w:hAnsi="mylotus"/>
          <w:sz w:val="34"/>
          <w:szCs w:val="34"/>
          <w:lang w:bidi="ar-BH"/>
        </w:rPr>
        <w:t>.</w:t>
      </w:r>
    </w:p>
    <w:p w14:paraId="12181600" w14:textId="77777777"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وهذا الإشكال متين</w:t>
      </w:r>
      <w:r w:rsidRPr="00281BF7">
        <w:rPr>
          <w:rFonts w:ascii="mylotus" w:hAnsi="mylotus"/>
          <w:sz w:val="34"/>
          <w:szCs w:val="34"/>
          <w:lang w:bidi="ar-BH"/>
        </w:rPr>
        <w:t>.</w:t>
      </w:r>
    </w:p>
    <w:p w14:paraId="4110B466" w14:textId="77777777"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t>هذا هو تمام الكلام في الدور الثاني للعرف العام</w:t>
      </w:r>
      <w:r w:rsidRPr="00281BF7">
        <w:rPr>
          <w:rFonts w:ascii="mylotus" w:hAnsi="mylotus"/>
          <w:sz w:val="34"/>
          <w:szCs w:val="34"/>
          <w:lang w:bidi="ar-BH"/>
        </w:rPr>
        <w:t>.</w:t>
      </w:r>
    </w:p>
    <w:p w14:paraId="38E581F3" w14:textId="6F112581" w:rsidR="00281BF7" w:rsidRPr="00281BF7" w:rsidRDefault="00281BF7" w:rsidP="00281BF7">
      <w:pPr>
        <w:pStyle w:val="a0"/>
        <w:bidi/>
        <w:rPr>
          <w:rFonts w:ascii="mylotus" w:hAnsi="mylotus"/>
          <w:b/>
          <w:bCs/>
          <w:sz w:val="34"/>
          <w:szCs w:val="34"/>
          <w:rtl/>
          <w:lang w:bidi="ar-BH"/>
        </w:rPr>
      </w:pPr>
      <w:r w:rsidRPr="00281BF7">
        <w:rPr>
          <w:rFonts w:ascii="mylotus" w:hAnsi="mylotus"/>
          <w:b/>
          <w:bCs/>
          <w:sz w:val="34"/>
          <w:szCs w:val="34"/>
          <w:rtl/>
          <w:lang w:bidi="ar-BH"/>
        </w:rPr>
        <w:t>الدور الثالث: في دخالة دور العرف العام في الاستظهار وتحديد المفاهيم في المقام</w:t>
      </w:r>
      <w:r>
        <w:rPr>
          <w:rFonts w:ascii="mylotus" w:hAnsi="mylotus"/>
          <w:b/>
          <w:bCs/>
          <w:sz w:val="34"/>
          <w:szCs w:val="34"/>
          <w:rtl/>
          <w:lang w:bidi="ar-BH"/>
        </w:rPr>
        <w:t>.</w:t>
      </w:r>
    </w:p>
    <w:p w14:paraId="75A6F856" w14:textId="499343CF" w:rsidR="00281BF7" w:rsidRDefault="00281BF7" w:rsidP="00281BF7">
      <w:pPr>
        <w:pStyle w:val="a0"/>
        <w:bidi/>
        <w:rPr>
          <w:rFonts w:ascii="mylotus" w:hAnsi="mylotus" w:hint="cs"/>
          <w:sz w:val="34"/>
          <w:szCs w:val="34"/>
          <w:rtl/>
          <w:lang w:bidi="ar-BH"/>
        </w:rPr>
      </w:pPr>
      <w:r w:rsidRPr="00281BF7">
        <w:rPr>
          <w:rFonts w:ascii="mylotus" w:hAnsi="mylotus"/>
          <w:sz w:val="34"/>
          <w:szCs w:val="34"/>
          <w:rtl/>
          <w:lang w:bidi="ar-BH"/>
        </w:rPr>
        <w:t>وبيانه</w:t>
      </w:r>
      <w:r>
        <w:rPr>
          <w:rFonts w:ascii="mylotus" w:hAnsi="mylotus"/>
          <w:sz w:val="34"/>
          <w:szCs w:val="34"/>
          <w:rtl/>
          <w:lang w:bidi="ar-BH"/>
        </w:rPr>
        <w:t>:</w:t>
      </w:r>
      <w:r w:rsidRPr="00281BF7">
        <w:rPr>
          <w:rFonts w:ascii="mylotus" w:hAnsi="mylotus"/>
          <w:sz w:val="34"/>
          <w:szCs w:val="34"/>
          <w:rtl/>
          <w:lang w:bidi="ar-BH"/>
        </w:rPr>
        <w:t xml:space="preserve"> أن إصرار جمع من الأعلام على أن البحث في المقام بحث عقلي محض مصادرة على المطلوب، حيث يمكن أن يقال</w:t>
      </w:r>
      <w:r>
        <w:rPr>
          <w:rFonts w:ascii="mylotus" w:hAnsi="mylotus"/>
          <w:sz w:val="34"/>
          <w:szCs w:val="34"/>
          <w:rtl/>
          <w:lang w:bidi="ar-BH"/>
        </w:rPr>
        <w:t>:</w:t>
      </w:r>
      <w:r w:rsidRPr="00281BF7">
        <w:rPr>
          <w:rFonts w:ascii="mylotus" w:hAnsi="mylotus"/>
          <w:sz w:val="34"/>
          <w:szCs w:val="34"/>
          <w:rtl/>
          <w:lang w:bidi="ar-BH"/>
        </w:rPr>
        <w:t xml:space="preserve"> بأن هنا جهات طولية للبحث؛ إذ الغرض من بحث اجتماع الأمر والنهي الوصول إلى الثمرة الفقهية، وهي أن المقام من باب التعارض أو من باب التزاحم، وعلى فرض كونه من باب التزاح</w:t>
      </w:r>
      <w:r>
        <w:rPr>
          <w:rFonts w:ascii="mylotus" w:hAnsi="mylotus"/>
          <w:sz w:val="34"/>
          <w:szCs w:val="34"/>
          <w:rtl/>
          <w:lang w:bidi="ar-BH"/>
        </w:rPr>
        <w:t>م فهل يمكن تصحيح العبادة أم لا؟</w:t>
      </w:r>
    </w:p>
    <w:p w14:paraId="57B71966" w14:textId="2191E112" w:rsidR="00281BF7" w:rsidRPr="00281BF7" w:rsidRDefault="00281BF7" w:rsidP="00281BF7">
      <w:pPr>
        <w:pStyle w:val="a0"/>
        <w:bidi/>
        <w:rPr>
          <w:rFonts w:ascii="mylotus" w:hAnsi="mylotus"/>
          <w:b/>
          <w:bCs/>
          <w:sz w:val="34"/>
          <w:szCs w:val="34"/>
          <w:rtl/>
          <w:lang w:bidi="ar-BH"/>
        </w:rPr>
      </w:pPr>
      <w:r w:rsidRPr="00281BF7">
        <w:rPr>
          <w:rFonts w:ascii="mylotus" w:hAnsi="mylotus"/>
          <w:b/>
          <w:bCs/>
          <w:sz w:val="34"/>
          <w:szCs w:val="34"/>
          <w:rtl/>
          <w:lang w:bidi="ar-BH"/>
        </w:rPr>
        <w:t>وللوصول لهذه الثمرة لا بد من بحث جهات طولية</w:t>
      </w:r>
      <w:r w:rsidRPr="00281BF7">
        <w:rPr>
          <w:rFonts w:ascii="mylotus" w:hAnsi="mylotus"/>
          <w:b/>
          <w:bCs/>
          <w:sz w:val="34"/>
          <w:szCs w:val="34"/>
          <w:lang w:bidi="ar-BH"/>
        </w:rPr>
        <w:t>:</w:t>
      </w:r>
    </w:p>
    <w:p w14:paraId="3B83E4EB" w14:textId="7A422FDB" w:rsidR="00281BF7" w:rsidRDefault="00281BF7" w:rsidP="00281BF7">
      <w:pPr>
        <w:pStyle w:val="a0"/>
        <w:bidi/>
        <w:rPr>
          <w:rFonts w:ascii="mylotus" w:hAnsi="mylotus" w:hint="cs"/>
          <w:sz w:val="34"/>
          <w:szCs w:val="34"/>
          <w:rtl/>
          <w:lang w:bidi="ar-BH"/>
        </w:rPr>
      </w:pPr>
      <w:r w:rsidRPr="00281BF7">
        <w:rPr>
          <w:rFonts w:ascii="mylotus" w:hAnsi="mylotus"/>
          <w:b/>
          <w:bCs/>
          <w:sz w:val="34"/>
          <w:szCs w:val="34"/>
          <w:rtl/>
          <w:lang w:bidi="ar-BH"/>
        </w:rPr>
        <w:t>الجهة الأولى:</w:t>
      </w:r>
      <w:r w:rsidRPr="00281BF7">
        <w:rPr>
          <w:rFonts w:ascii="mylotus" w:hAnsi="mylotus"/>
          <w:sz w:val="34"/>
          <w:szCs w:val="34"/>
          <w:rtl/>
          <w:lang w:bidi="ar-BH"/>
        </w:rPr>
        <w:t xml:space="preserve"> الجهة العقلية؛ وهي</w:t>
      </w:r>
      <w:r>
        <w:rPr>
          <w:rFonts w:ascii="mylotus" w:hAnsi="mylotus"/>
          <w:sz w:val="34"/>
          <w:szCs w:val="34"/>
          <w:rtl/>
          <w:lang w:bidi="ar-BH"/>
        </w:rPr>
        <w:t>:</w:t>
      </w:r>
      <w:r w:rsidRPr="00281BF7">
        <w:rPr>
          <w:rFonts w:ascii="mylotus" w:hAnsi="mylotus"/>
          <w:sz w:val="34"/>
          <w:szCs w:val="34"/>
          <w:rtl/>
          <w:lang w:bidi="ar-BH"/>
        </w:rPr>
        <w:t xml:space="preserve"> هل يلزم من إطلاق الأمر والنهي للمجمع -كالوضوء بالماء المغصوب- محذور عقلي وهو التضاد في نفس الأمر والواقع لاجتماع المحبوبية والمبغوضية في مركز واحد أم لا؟ فإذا قلنا بأن مركز المحبوبية غير مركز </w:t>
      </w:r>
      <w:proofErr w:type="spellStart"/>
      <w:r w:rsidRPr="00281BF7">
        <w:rPr>
          <w:rFonts w:ascii="mylotus" w:hAnsi="mylotus"/>
          <w:sz w:val="34"/>
          <w:szCs w:val="34"/>
          <w:rtl/>
          <w:lang w:bidi="ar-BH"/>
        </w:rPr>
        <w:t>المبغوضية</w:t>
      </w:r>
      <w:proofErr w:type="spellEnd"/>
      <w:r w:rsidRPr="00281BF7">
        <w:rPr>
          <w:rFonts w:ascii="mylotus" w:hAnsi="mylotus"/>
          <w:sz w:val="34"/>
          <w:szCs w:val="34"/>
          <w:rtl/>
          <w:lang w:bidi="ar-BH"/>
        </w:rPr>
        <w:t xml:space="preserve"> وأنهما معنونان في عالم الجعل، وإن كانا في عالم الامتثال واحداً، </w:t>
      </w:r>
      <w:r>
        <w:rPr>
          <w:rFonts w:ascii="mylotus" w:hAnsi="mylotus" w:hint="cs"/>
          <w:sz w:val="34"/>
          <w:szCs w:val="34"/>
          <w:rtl/>
          <w:lang w:bidi="ar-BH"/>
        </w:rPr>
        <w:t>إ</w:t>
      </w:r>
      <w:r w:rsidRPr="00281BF7">
        <w:rPr>
          <w:rFonts w:ascii="mylotus" w:hAnsi="mylotus"/>
          <w:sz w:val="34"/>
          <w:szCs w:val="34"/>
          <w:rtl/>
          <w:lang w:bidi="ar-BH"/>
        </w:rPr>
        <w:t>لا أن افتراقهما بحسب المعنون في عالم الجعل يكفي في دفع المحذور العقلي، فلا موجب للقفز</w:t>
      </w:r>
      <w:r>
        <w:rPr>
          <w:rFonts w:ascii="mylotus" w:hAnsi="mylotus"/>
          <w:sz w:val="34"/>
          <w:szCs w:val="34"/>
          <w:rtl/>
          <w:lang w:bidi="ar-BH"/>
        </w:rPr>
        <w:t xml:space="preserve"> </w:t>
      </w:r>
      <w:r w:rsidRPr="00281BF7">
        <w:rPr>
          <w:rFonts w:ascii="mylotus" w:hAnsi="mylotus"/>
          <w:sz w:val="34"/>
          <w:szCs w:val="34"/>
          <w:rtl/>
          <w:lang w:bidi="ar-BH"/>
        </w:rPr>
        <w:t xml:space="preserve">مباشرة لباب التعارض بل تصل </w:t>
      </w:r>
      <w:r>
        <w:rPr>
          <w:rFonts w:ascii="mylotus" w:hAnsi="mylotus"/>
          <w:sz w:val="34"/>
          <w:szCs w:val="34"/>
          <w:rtl/>
          <w:lang w:bidi="ar-BH"/>
        </w:rPr>
        <w:t>النوبة للبحث في الامتناع العرفي</w:t>
      </w:r>
      <w:r>
        <w:rPr>
          <w:rFonts w:ascii="mylotus" w:hAnsi="mylotus" w:hint="cs"/>
          <w:sz w:val="34"/>
          <w:szCs w:val="34"/>
          <w:rtl/>
          <w:lang w:bidi="ar-BH"/>
        </w:rPr>
        <w:t>.</w:t>
      </w:r>
    </w:p>
    <w:p w14:paraId="26563AE5" w14:textId="5B765F7D" w:rsidR="00281BF7" w:rsidRPr="00281BF7" w:rsidRDefault="00281BF7" w:rsidP="00281BF7">
      <w:pPr>
        <w:pStyle w:val="a0"/>
        <w:bidi/>
        <w:rPr>
          <w:rFonts w:ascii="mylotus" w:hAnsi="mylotus"/>
          <w:sz w:val="34"/>
          <w:szCs w:val="34"/>
          <w:rtl/>
          <w:lang w:bidi="ar-BH"/>
        </w:rPr>
      </w:pPr>
      <w:r w:rsidRPr="00281BF7">
        <w:rPr>
          <w:rFonts w:ascii="mylotus" w:hAnsi="mylotus"/>
          <w:b/>
          <w:bCs/>
          <w:sz w:val="34"/>
          <w:szCs w:val="34"/>
          <w:rtl/>
          <w:lang w:bidi="ar-BH"/>
        </w:rPr>
        <w:t>الجهة الثانية</w:t>
      </w:r>
      <w:r>
        <w:rPr>
          <w:rFonts w:ascii="mylotus" w:hAnsi="mylotus"/>
          <w:b/>
          <w:bCs/>
          <w:sz w:val="34"/>
          <w:szCs w:val="34"/>
          <w:rtl/>
          <w:lang w:bidi="ar-BH"/>
        </w:rPr>
        <w:t>:</w:t>
      </w:r>
      <w:r w:rsidRPr="00281BF7">
        <w:rPr>
          <w:rFonts w:ascii="mylotus" w:hAnsi="mylotus"/>
          <w:sz w:val="34"/>
          <w:szCs w:val="34"/>
          <w:rtl/>
          <w:lang w:bidi="ar-BH"/>
        </w:rPr>
        <w:t xml:space="preserve"> أن العقل غاية ما يقول: إنه</w:t>
      </w:r>
      <w:r>
        <w:rPr>
          <w:rFonts w:ascii="mylotus" w:hAnsi="mylotus"/>
          <w:sz w:val="34"/>
          <w:szCs w:val="34"/>
          <w:rtl/>
          <w:lang w:bidi="ar-BH"/>
        </w:rPr>
        <w:t xml:space="preserve"> </w:t>
      </w:r>
      <w:r w:rsidRPr="00281BF7">
        <w:rPr>
          <w:rFonts w:ascii="mylotus" w:hAnsi="mylotus"/>
          <w:sz w:val="34"/>
          <w:szCs w:val="34"/>
          <w:rtl/>
          <w:lang w:bidi="ar-BH"/>
        </w:rPr>
        <w:t>لا تضاد في المقام، لكنه لا يقول: لا يوجد أي محذور حتى لو كان محذوراً عرفياً عقلائياً، فإن العقل لا يخطئ العرف العام،</w:t>
      </w:r>
      <w:r>
        <w:rPr>
          <w:rFonts w:ascii="mylotus" w:hAnsi="mylotus"/>
          <w:sz w:val="34"/>
          <w:szCs w:val="34"/>
          <w:rtl/>
          <w:lang w:bidi="ar-BH"/>
        </w:rPr>
        <w:t xml:space="preserve"> </w:t>
      </w:r>
      <w:r w:rsidRPr="00281BF7">
        <w:rPr>
          <w:rFonts w:ascii="mylotus" w:hAnsi="mylotus"/>
          <w:sz w:val="34"/>
          <w:szCs w:val="34"/>
          <w:rtl/>
          <w:lang w:bidi="ar-BH"/>
        </w:rPr>
        <w:t>والعرف العام</w:t>
      </w:r>
      <w:r>
        <w:rPr>
          <w:rFonts w:ascii="mylotus" w:hAnsi="mylotus"/>
          <w:sz w:val="34"/>
          <w:szCs w:val="34"/>
          <w:rtl/>
          <w:lang w:bidi="ar-BH"/>
        </w:rPr>
        <w:t xml:space="preserve"> </w:t>
      </w:r>
      <w:r w:rsidRPr="00281BF7">
        <w:rPr>
          <w:rFonts w:ascii="mylotus" w:hAnsi="mylotus"/>
          <w:sz w:val="34"/>
          <w:szCs w:val="34"/>
          <w:rtl/>
          <w:lang w:bidi="ar-BH"/>
        </w:rPr>
        <w:t>معترف بأن لا محذور عقلي، ولكن هناك مشكلة تمنع من الوصول إلى الثمرة الفقهية، وهي الامتناع العرفي. ومعنى الامتناع العرفي ما سبق بحثه فيما مضى، وهو أن</w:t>
      </w:r>
      <w:r>
        <w:rPr>
          <w:rFonts w:ascii="mylotus" w:hAnsi="mylotus"/>
          <w:sz w:val="34"/>
          <w:szCs w:val="34"/>
          <w:rtl/>
          <w:lang w:bidi="ar-BH"/>
        </w:rPr>
        <w:t>:</w:t>
      </w:r>
      <w:r w:rsidRPr="00281BF7">
        <w:rPr>
          <w:rFonts w:ascii="mylotus" w:hAnsi="mylotus"/>
          <w:sz w:val="34"/>
          <w:szCs w:val="34"/>
          <w:rtl/>
          <w:lang w:bidi="ar-BH"/>
        </w:rPr>
        <w:t xml:space="preserve"> شمول الأمر والنهي في عالم الجعل لما هو واحد بالحقيقة كسر لفاعلية النهي وتفويت للملاك</w:t>
      </w:r>
      <w:r>
        <w:rPr>
          <w:rFonts w:ascii="mylotus" w:hAnsi="mylotus"/>
          <w:sz w:val="34"/>
          <w:szCs w:val="34"/>
          <w:rtl/>
          <w:lang w:bidi="ar-BH"/>
        </w:rPr>
        <w:t xml:space="preserve">، </w:t>
      </w:r>
      <w:r w:rsidRPr="00281BF7">
        <w:rPr>
          <w:rFonts w:ascii="mylotus" w:hAnsi="mylotus"/>
          <w:sz w:val="34"/>
          <w:szCs w:val="34"/>
          <w:rtl/>
          <w:lang w:bidi="ar-BH"/>
        </w:rPr>
        <w:t>فمقتضى هذا المحذور عدم الاجتماع</w:t>
      </w:r>
      <w:r w:rsidRPr="00281BF7">
        <w:rPr>
          <w:rFonts w:ascii="mylotus" w:hAnsi="mylotus"/>
          <w:sz w:val="34"/>
          <w:szCs w:val="34"/>
          <w:lang w:bidi="ar-BH"/>
        </w:rPr>
        <w:t>.</w:t>
      </w:r>
    </w:p>
    <w:p w14:paraId="551E18B0" w14:textId="77777777" w:rsidR="00281BF7" w:rsidRPr="00281BF7" w:rsidRDefault="00281BF7" w:rsidP="00281BF7">
      <w:pPr>
        <w:pStyle w:val="a0"/>
        <w:bidi/>
        <w:rPr>
          <w:rFonts w:ascii="mylotus" w:hAnsi="mylotus"/>
          <w:sz w:val="34"/>
          <w:szCs w:val="34"/>
          <w:rtl/>
          <w:lang w:bidi="ar-BH"/>
        </w:rPr>
      </w:pPr>
      <w:r w:rsidRPr="00281BF7">
        <w:rPr>
          <w:rFonts w:ascii="mylotus" w:hAnsi="mylotus"/>
          <w:sz w:val="34"/>
          <w:szCs w:val="34"/>
          <w:rtl/>
          <w:lang w:bidi="ar-BH"/>
        </w:rPr>
        <w:lastRenderedPageBreak/>
        <w:t xml:space="preserve">وإذا انتفى هذا المحذور تصل النوبة لجهة ثالثة طولية وهي: هل أن ظواهر الأدلة المشتملة على الأمر والنهي </w:t>
      </w:r>
      <w:proofErr w:type="spellStart"/>
      <w:r w:rsidRPr="00281BF7">
        <w:rPr>
          <w:rFonts w:ascii="mylotus" w:hAnsi="mylotus"/>
          <w:sz w:val="34"/>
          <w:szCs w:val="34"/>
          <w:rtl/>
          <w:lang w:bidi="ar-BH"/>
        </w:rPr>
        <w:t>متكاذبة</w:t>
      </w:r>
      <w:proofErr w:type="spellEnd"/>
      <w:r w:rsidRPr="00281BF7">
        <w:rPr>
          <w:rFonts w:ascii="mylotus" w:hAnsi="mylotus"/>
          <w:sz w:val="34"/>
          <w:szCs w:val="34"/>
          <w:rtl/>
          <w:lang w:bidi="ar-BH"/>
        </w:rPr>
        <w:t xml:space="preserve"> في المجمع أم لا؟</w:t>
      </w:r>
    </w:p>
    <w:p w14:paraId="2902BB3C" w14:textId="7EA60C4C" w:rsidR="00F12AF2" w:rsidRDefault="00281BF7" w:rsidP="00281BF7">
      <w:pPr>
        <w:pStyle w:val="a0"/>
        <w:bidi/>
        <w:ind w:firstLine="0"/>
        <w:rPr>
          <w:rFonts w:ascii="mylotus" w:hAnsi="mylotus" w:hint="cs"/>
          <w:b/>
          <w:bCs/>
          <w:sz w:val="34"/>
          <w:szCs w:val="34"/>
          <w:rtl/>
          <w:lang w:bidi="ar-BH"/>
        </w:rPr>
      </w:pPr>
      <w:r w:rsidRPr="00281BF7">
        <w:rPr>
          <w:rFonts w:ascii="mylotus" w:hAnsi="mylotus"/>
          <w:sz w:val="34"/>
          <w:szCs w:val="34"/>
          <w:rtl/>
          <w:lang w:bidi="ar-BH"/>
        </w:rPr>
        <w:t>فعندنا جهات للبحث، ولا وجه لحصر البحث في الجهة العقلية.</w:t>
      </w:r>
    </w:p>
    <w:p w14:paraId="4332C32F" w14:textId="77777777" w:rsidR="00281BF7" w:rsidRDefault="00281BF7" w:rsidP="00281BF7">
      <w:pPr>
        <w:pStyle w:val="a0"/>
        <w:bidi/>
        <w:ind w:firstLine="0"/>
        <w:jc w:val="center"/>
        <w:rPr>
          <w:rFonts w:ascii="mylotus" w:hAnsi="mylotus" w:hint="cs"/>
          <w:b/>
          <w:bCs/>
          <w:sz w:val="34"/>
          <w:szCs w:val="34"/>
          <w:rtl/>
          <w:lang w:bidi="ar-BH"/>
        </w:rPr>
      </w:pPr>
    </w:p>
    <w:p w14:paraId="72502CC5" w14:textId="3F378ED4" w:rsidR="00EF47A8" w:rsidRPr="003003D1" w:rsidRDefault="00F72992" w:rsidP="00F12AF2">
      <w:pPr>
        <w:pStyle w:val="a0"/>
        <w:bidi/>
        <w:ind w:firstLine="0"/>
        <w:jc w:val="center"/>
        <w:rPr>
          <w:rFonts w:ascii="mylotus" w:hAnsi="mylotus"/>
          <w:b/>
          <w:bCs/>
          <w:sz w:val="34"/>
          <w:szCs w:val="34"/>
          <w:rtl/>
          <w:lang w:bidi="ar-BH"/>
        </w:rPr>
      </w:pPr>
      <w:r>
        <w:rPr>
          <w:rFonts w:ascii="mylotus" w:hAnsi="mylotus"/>
          <w:b/>
          <w:bCs/>
          <w:sz w:val="34"/>
          <w:szCs w:val="34"/>
          <w:rtl/>
          <w:lang w:bidi="ar-BH"/>
        </w:rPr>
        <w:t>والحمد</w:t>
      </w:r>
      <w:r w:rsidR="00EF47A8" w:rsidRPr="003003D1">
        <w:rPr>
          <w:rFonts w:ascii="mylotus" w:hAnsi="mylotus"/>
          <w:b/>
          <w:bCs/>
          <w:sz w:val="34"/>
          <w:szCs w:val="34"/>
          <w:rtl/>
          <w:lang w:bidi="ar-BH"/>
        </w:rPr>
        <w:t xml:space="preserve">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686679" w14:textId="77777777" w:rsidR="00BD3402" w:rsidRDefault="00BD3402" w:rsidP="00A5027D">
      <w:pPr>
        <w:spacing w:line="240" w:lineRule="auto"/>
      </w:pPr>
      <w:r>
        <w:separator/>
      </w:r>
    </w:p>
  </w:endnote>
  <w:endnote w:type="continuationSeparator" w:id="0">
    <w:p w14:paraId="166CE0D3" w14:textId="77777777" w:rsidR="00BD3402" w:rsidRDefault="00BD3402"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281BF7" w:rsidRPr="00281BF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A663B" w14:textId="77777777" w:rsidR="00BD3402" w:rsidRDefault="00BD3402" w:rsidP="00A5027D">
      <w:pPr>
        <w:spacing w:line="240" w:lineRule="auto"/>
      </w:pPr>
      <w:r>
        <w:separator/>
      </w:r>
    </w:p>
  </w:footnote>
  <w:footnote w:type="continuationSeparator" w:id="0">
    <w:p w14:paraId="1E754B9F" w14:textId="77777777" w:rsidR="00BD3402" w:rsidRDefault="00BD3402"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438C9DC" w:rsidR="00B07F43" w:rsidRDefault="00F72992" w:rsidP="00F763CD">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F763CD">
      <w:rPr>
        <w:rFonts w:ascii="mylotus" w:hAnsi="mylotus" w:cs="mylotus" w:hint="cs"/>
        <w:color w:val="FF0000"/>
        <w:sz w:val="26"/>
        <w:szCs w:val="26"/>
        <w:rtl/>
      </w:rPr>
      <w:t>26</w:t>
    </w:r>
    <w:r w:rsidRPr="005F7776">
      <w:rPr>
        <w:rFonts w:ascii="mylotus" w:hAnsi="mylotus" w:cs="mylotus"/>
        <w:color w:val="FF0000"/>
        <w:sz w:val="26"/>
        <w:szCs w:val="26"/>
        <w:rtl/>
      </w:rPr>
      <w:t>) - ال</w:t>
    </w:r>
    <w:r w:rsidR="00F763CD">
      <w:rPr>
        <w:rFonts w:ascii="mylotus" w:hAnsi="mylotus" w:cs="mylotus" w:hint="cs"/>
        <w:color w:val="FF0000"/>
        <w:sz w:val="26"/>
        <w:szCs w:val="26"/>
        <w:rtl/>
      </w:rPr>
      <w:t>اثنين</w:t>
    </w:r>
    <w:r w:rsidRPr="005F7776">
      <w:rPr>
        <w:rFonts w:ascii="mylotus" w:hAnsi="mylotus" w:cs="mylotus"/>
        <w:color w:val="FF0000"/>
        <w:sz w:val="26"/>
        <w:szCs w:val="26"/>
        <w:rtl/>
      </w:rPr>
      <w:t xml:space="preserve"> </w:t>
    </w:r>
    <w:r w:rsidR="00F763CD">
      <w:rPr>
        <w:rFonts w:ascii="mylotus" w:hAnsi="mylotus" w:cs="mylotus" w:hint="cs"/>
        <w:color w:val="FF0000"/>
        <w:sz w:val="26"/>
        <w:szCs w:val="26"/>
        <w:rtl/>
      </w:rPr>
      <w:t>7</w:t>
    </w:r>
    <w:r>
      <w:rPr>
        <w:rFonts w:ascii="mylotus" w:hAnsi="mylotus" w:cs="mylotus"/>
        <w:color w:val="FF0000"/>
        <w:sz w:val="26"/>
        <w:szCs w:val="26"/>
        <w:rtl/>
      </w:rPr>
      <w:t xml:space="preserve"> </w:t>
    </w:r>
    <w:r>
      <w:rPr>
        <w:rFonts w:ascii="mylotus" w:hAnsi="mylotus" w:cs="mylotus" w:hint="cs"/>
        <w:color w:val="FF0000"/>
        <w:sz w:val="26"/>
        <w:szCs w:val="26"/>
        <w:rtl/>
      </w:rPr>
      <w:t>جمادى الأولى 1448</w:t>
    </w:r>
    <w:r w:rsidRPr="005F7776">
      <w:rPr>
        <w:rFonts w:ascii="mylotus" w:hAnsi="mylotus" w:cs="mylotus"/>
        <w:color w:val="FF0000"/>
        <w:sz w:val="26"/>
        <w:szCs w:val="26"/>
        <w:rtl/>
      </w:rPr>
      <w:t>هـ</w:t>
    </w:r>
    <w:r w:rsidR="00EF47A8">
      <w:rPr>
        <w:rFonts w:ascii="mylotus" w:hAnsi="mylotus" w:cs="mylotus"/>
        <w:color w:val="FF0000"/>
        <w:sz w:val="24"/>
        <w:szCs w:val="24"/>
        <w:rtl/>
      </w:rPr>
      <w:tab/>
    </w:r>
    <w:r w:rsidR="00EF47A8" w:rsidRPr="00FD3FCA">
      <w:rPr>
        <w:rFonts w:ascii="mylotus" w:hAnsi="mylotus" w:cs="mylotus" w:hint="cs"/>
        <w:color w:val="0070C0"/>
        <w:sz w:val="26"/>
        <w:szCs w:val="26"/>
        <w:rtl/>
      </w:rPr>
      <w:t>ا</w:t>
    </w:r>
    <w:r w:rsidR="00B07F43" w:rsidRPr="00FD3FCA">
      <w:rPr>
        <w:rFonts w:ascii="mylotus" w:hAnsi="mylotus" w:cs="mylotus"/>
        <w:color w:val="0070C0"/>
        <w:sz w:val="26"/>
        <w:szCs w:val="26"/>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D23BD"/>
    <w:rsid w:val="000E2746"/>
    <w:rsid w:val="000E2AF5"/>
    <w:rsid w:val="000F2D22"/>
    <w:rsid w:val="00102391"/>
    <w:rsid w:val="00104288"/>
    <w:rsid w:val="00111AE8"/>
    <w:rsid w:val="00112036"/>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81BF7"/>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C69"/>
    <w:rsid w:val="00307D3B"/>
    <w:rsid w:val="0031457C"/>
    <w:rsid w:val="00316628"/>
    <w:rsid w:val="003228E8"/>
    <w:rsid w:val="003265B6"/>
    <w:rsid w:val="00330B70"/>
    <w:rsid w:val="00331615"/>
    <w:rsid w:val="00341791"/>
    <w:rsid w:val="00346652"/>
    <w:rsid w:val="0035163E"/>
    <w:rsid w:val="0035443E"/>
    <w:rsid w:val="0035715B"/>
    <w:rsid w:val="00377171"/>
    <w:rsid w:val="00382085"/>
    <w:rsid w:val="0038241F"/>
    <w:rsid w:val="00396289"/>
    <w:rsid w:val="003A0D7F"/>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0036"/>
    <w:rsid w:val="00753B14"/>
    <w:rsid w:val="0076539C"/>
    <w:rsid w:val="00776E98"/>
    <w:rsid w:val="00781258"/>
    <w:rsid w:val="00791C2B"/>
    <w:rsid w:val="007926E8"/>
    <w:rsid w:val="007959F8"/>
    <w:rsid w:val="007A1A5D"/>
    <w:rsid w:val="007A3BE9"/>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0E4D"/>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3079"/>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7F43"/>
    <w:rsid w:val="00B11E0D"/>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402"/>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2AF2"/>
    <w:rsid w:val="00F13ED3"/>
    <w:rsid w:val="00F21E37"/>
    <w:rsid w:val="00F2232F"/>
    <w:rsid w:val="00F24C8D"/>
    <w:rsid w:val="00F24EC7"/>
    <w:rsid w:val="00F31F05"/>
    <w:rsid w:val="00F4159D"/>
    <w:rsid w:val="00F52DC7"/>
    <w:rsid w:val="00F62778"/>
    <w:rsid w:val="00F6280E"/>
    <w:rsid w:val="00F6371D"/>
    <w:rsid w:val="00F6536F"/>
    <w:rsid w:val="00F72992"/>
    <w:rsid w:val="00F72F28"/>
    <w:rsid w:val="00F75FF8"/>
    <w:rsid w:val="00F760D6"/>
    <w:rsid w:val="00F76336"/>
    <w:rsid w:val="00F763CD"/>
    <w:rsid w:val="00F812D6"/>
    <w:rsid w:val="00F83D13"/>
    <w:rsid w:val="00F83FCA"/>
    <w:rsid w:val="00F87C5B"/>
    <w:rsid w:val="00F9000E"/>
    <w:rsid w:val="00FB2461"/>
    <w:rsid w:val="00FB259A"/>
    <w:rsid w:val="00FB4C6F"/>
    <w:rsid w:val="00FB5742"/>
    <w:rsid w:val="00FB61E8"/>
    <w:rsid w:val="00FC195A"/>
    <w:rsid w:val="00FC2FF8"/>
    <w:rsid w:val="00FC7F35"/>
    <w:rsid w:val="00FD3FCA"/>
    <w:rsid w:val="00FE0B22"/>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82E04-FED2-4A6A-9950-4BDA9CEF1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237</TotalTime>
  <Pages>5</Pages>
  <Words>1108</Words>
  <Characters>6320</Characters>
  <Application>Microsoft Office Word</Application>
  <DocSecurity>0</DocSecurity>
  <Lines>52</Lines>
  <Paragraphs>14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5</cp:revision>
  <cp:lastPrinted>2026-03-25T07:41:00Z</cp:lastPrinted>
  <dcterms:created xsi:type="dcterms:W3CDTF">2026-10-19T10:24:00Z</dcterms:created>
  <dcterms:modified xsi:type="dcterms:W3CDTF">2026-10-19T14:20:00Z</dcterms:modified>
</cp:coreProperties>
</file>