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من مطالب بحث التجري والبحث عن موقع قبح 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ذكر في كلماتهم السلام ثلاثة مسالك. المسلك الأول أن الفعل المتجرى به قبيح. فإذا اعتقد المكلف أن زيداً مسلم فأهدر دمه مع قطعه بأنه مسلم، أهدر دمه. ثم تبين أنه كافر حربي. فإن هذا الفعل المتجرى به وهو إهدار الدم قبيح. وهذا ما ذهب إليه سيدنا قدس سره وتبعه في ذلك السيد الشهيد وغيره من تلامذته.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الثاني ما ذهب له صاحب الكفاية قدس سره من أن الفعل المتجرى به ليس قبيحاً. لكن القبيح هو القصد. فإن قصد المكلف إهدار الدم مع اعتقاده أن أن المهجور مسلم فإن هذا القصد نفسه هو التجري وليس الفعل. وإنما الفعل مبرز للتجري. وإلا فالتجري من العناوين القصدية لا من العناوين الخارجية. أي أن التجري عنوان لقصد عصيان المولى ومخالفة أوامره. فهذا القصد هو القبيح لا الفعل المبرز له قبيح.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يلتقي مع ما ذكره النائيني قدس سره من أن القبح في التجري فاعلي لا فعلي. فقد أفاد النائيني أن القبح الفاعلي والفعلي قد يجتمعان كما في المعصية. فإنه لو شرب خمراً واقعياً عن عمد فالفعل قبيح لكونه شرب خمر. والقبح الفاعلي حاصل أيضاً لأن القبح الفاعلي عبارة عن قصد الجرأة على المولى.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لو فرضنا أنه قتل نفساً محترمة من دون علم فإن الفعل قبيح لكن الفعل لكن القبح الفاعلي غير موجود. إذ لم يقصد قتل النفس المحترمة. وقد يتحقق القبح الفاعلي دون الفعلي كما في التجري. فإنه إذا أهدر دم كافر حربي معتقداً أنه مسلم فليس الفعل قبيحاً لكن الفاعل قبيح بمعنى أن القصد كان قبيحاً.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إي يعني إنما يتصف بالقبح الجوانحي لا القبح الجوارحي. المسلك الثالث نعم فهو فهو المسلك الأول يرى أن الفعل الخارجي هو القبيح. الفعل المتجرى به قبيح مو القصد. هذا يقول الفعل المتجرى به مبرز للقبيح والقبيح هو القصد وليس الفعل المتجرى به. نعم نعم حتى لو كان قبيح مو معلوم أنه معصية ذاك بحث آخر هل كل قبيح معصية أم لا؟ الآن نتكلم في أصل القبح وين مركز القبح؟ هل مركز القبح الفعل أو مركز القبح القصد؟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الثالث أنه ما ذهب إليه الشيخ الأعظم قدس سره وتبعه السيد الأستاذ دام ظله من أنه لا قبح لا في الفعل ولا في القصد. إنما الفعل المتجرى به كاشف عن سوء السريرة وشقاء النفس وأن هذا شقي إذ لولا شقاؤه لما وقع منه التجري. وإلا فلا قبح في البين أصلاً. هذه هي المسالك الثلاثة.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واستدل على المسلك الأول وهو أن الفعل المتجرى به قبيح. بما في كلمات سيدنا قدس سره والسيد الشهيد بوجوه ثلاثة. الأول أن التجري بإهدار دم يعتقد أنه دم مسلم هتك لمقام الباري عز وجل. فنفس الفعل الخارجي شنو؟ هتك والهتك قبيح. وإن لم يكن هتكاً فهو ظلم لله عز وجل.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عن ذلك السيد الإمام قدس سره بأننا لا نسلم الهتك في المعصية فضلاً عن التجري. فإن عنوان الهتك إما قصدي أو انطباقي. فإن كان عنوان الهتك قصدياً فمن الواضح أن العاصي لا يقصد هتك حرمة المولى. وإنما الغالب في العصاة غلبة الشهوة والشقوة.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الهتك انطباقياً لا يدور مدار القصد كما لو صعد إنسان بحذائه الوسخ على قبر المعصوم بحجة التبرك به مثلاً. فإن هذا وإن لم يقصد الهتك لكن الهتك حصل عرفاً. فمن الواضح أيضاً أنه ليست جميع المعاصي مصداقاً عرفياً شنو؟ للهتك. فلو قال الولد لأبيه أف فإنه وإن كان معصية شرعية لكن العرف لا يراه ممن هتك حرمة المولى عز وجل.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دعوى أن التجري هتك مع أن التجري ليس أسوأ حالاً من المعصية في غير محله إذ لم يثبت الهتك في المعصية فضلاً عن التجري. نعم نعم مو من باب الهتك من باب أدب العبودية وزي الرقية نعم بل هو يقول ليس هتكاً. في المعصية يقول ليس هتكاً. السيد يقول المعصية ماكو هتك. المعصية بما هي معصية ليست هتك. فكيف يكون التجري هتكاً؟ بل هذا من باب الظلم هذا بينة. نعم على أي حال إذا حصل عندكم قطع من خلال النصوص لا بأس. نعم أنا ما أدري. أنا ما حصل عندي قطع. شلون أنا أحكم بالقبح؟ أحكم بالقبح عقلاً كلام أحكم بالقبح العقلي. كيف أحكم به؟ ها شوية نصوص إذا كانت قطعية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قيل بأنه ظلم إن لم يكن هتكاً فالجواب أن الظلم سلب ذي الحق حقه. فلا بد من أن نثبت في رتبة سابقة أن لله عز وجل حق أن لا يتجرأ كما له حق أن لا يعصى. فلا بد أن نثبت في رتبة سابقة أن من حقه أن لا يتجرأ. وهذا هو أول البحث أول النزاع.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الوجه الأول وما فيه. الوجه الثاني إي بعدني في الوجه الثاني بعدني توني باجيب الوجه الثاني. إي هذا أنا باجيب الآن الوجه الثاني منهم. نعم لا ذاك في الوجه الأول قلت إن لم يكن هتكاً فهو ظلم هذا كله كان في الوجه الأول. الآن باذكر الوجه الثالث.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أن التجري أي الفعل المتجرى به إن لم يكن هتكاً ولا ظلماً فهو خروج عن أدب العبودية. والخروج عن أدب العبودية قبيح. فإن حق الطاعة إنما ثبت من باب أدب العبودية. أي مقتضى أدب العبودية أن يطاع عز وجل. فإذا كان حق الطاعة منشأه شنو؟ أدب العبودية. لا أن حق الطاعة هو الأصيل. بل الأصيل هو أن مقتضى العبودية التأدب مع المولى. ويتفرع على ذلك حق الطاعة. حيث إن الطاعة أدب. فلما كان المدار على الأدب أدب العبودية والأدب متقوم بالقطع وليس متقوماً بالواقع. لأن الأدب إنما يصدر من العبد عن شنو؟ عن شنو؟ عن التفات. فالأدب يدور مدار القطع لا مدار الواقع. فلذلك لو خالف الإنسان تكليفاً واقعياً وهو لا يدري كما لو شرب خمراً وهو يعتقد أنه شنو؟ سكنجبين. ثم تبين أنه خمر فإن هذا لم يخرج عن أدب العبودية. بينما إذا قطع أنه خمر ومع ذلك شربه فتبين أنه سكنجبين. فقد خرج عن أدب العبودية وإن لم يخالف التكليف الواقعي.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أنا ما قلت شي أنا لا إله إلا الله أنا بعدني مؤدب ما خرجت عن الأدب. أنا هذا يعني مثلاً دخل شخص وهو مثلاً قام بأخذ الكتاب يقول غير مؤدب شوف قام. إنما العرف يقول لا شنو هذا أدب مو هذا يأخذ الكتاب. هذا مثال. يعني هو الآن تعبان قام وقعد. ها؟ يعني هو الآن تعبان قام وقعد. ها؟ شو يقولوا شنو؟ يقولوا قام احتراماً للقادم؟ لا لا. على أي حال هذا ما يخالف هذا في بعض الأعراف. أنا هسه أنا ما وصلت إلى. هذا الوجه الثاني أليس هذا من أدب العرفية؟ أدب عرفي ولكن بنظر العرف الأدب منوط مناط القطع والالتفات. لا يدور مدار الواقع وإن لم يكن ملتفتاً.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 لا إشكال في أن قصد المعصية لا يجتمع مع أدب العبودية. إنما الكلام في أن هذا التنافي بين قصد المعصية وبين أدب العبودية هل يوجب قبح الفعل أو يوجب قبح القصد أو يوجب الكشف عن خبث السريرة؟ هذا أعم. فالاستدلال بهذا الوجه على أن قولوا وياي الفعل المتجرى به قبيح من باب الاستدلال بالأعم. فلا مضايقة لدينا في أن من أقدم على المعصية فليس شنو؟ مؤدباً. ولكن هذا لا يعني أن الفعل الذي صدر منه هو القبيح أو القصد الذي قصده هو القبيح أو أن الذات تبين أنها ذات غير مؤدبة. فمثل هذا الاستدلال ليس كافياً في إثبات الدعوى.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ذكره السيد الشهيد قدس سره من أن القبح قسمان: قبح بالعنوان الأولي وقبح بالعنوان الثانوي. فالقبح بالعنوان الأولي هو الظلم وإن الظلم قبيح بالعنوان الأولي. فمثلاً إتلاف مال الغير ظلم قبيح بالعنوان الأولي. أما هناك قبح بالعنوان الثانوي وهو الإقدام على الظلم وإن لم يقع في الظلم. فإن الإقدام والإصرار على فعل الظلم قبيح بالعنوان الثانوي. فهذا يدور مدار شنو؟ ما يقطع به بعد. فإذا قطع بأن إتلاف هذا المال ظلم لأن هذا المال مال زيد فأقدم على الإتلاف فانكشف أنه ماله هو مو مال زيد. فإن الإقدام على الظلم قبيح بالعنوان الثانوي وإن لم يكن قبيحاً بالعنوان الأولي لأنه ليس ظلماً في 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في إحسان كما ترى. فإننا لم نجد شاهداً وجدانياً على أن الإقدام على الظلم بما هو شنو؟ قبيح. وإنما قبح الإقدام على الظلم قبح طريقي لأن الظلم قبيح في نفسه كان الإقدام عليه شنو؟ قبيح. ولذلك لو أقدم على الظلم يذم لا لموضوعية في الإقدام بل لأن المآل هو الظلم. أما لو لم يكن هناك ظلم فقل أقدم على القبيح لا أن الإقدام قبيح.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فتحصل مما ذكر أنه أنه لم يقم شاهد على أن نفس الفعل شنو؟ المتجرى به شنو؟ قبيح. وهذا سيأتي طبعاً بحث الثمرات البحث بعدين نعم. بلى. إذا القصد يرجع لمسلك الكفاية بعد. على حال بأنه مسلك آخر مقابل مسلك صاحب الكفاية. نعم. نعم. نعم. متى يحكمون؟ متى يحكمون؟ يعني متى تكون مقدمة الواجب حسنة؟ عندما تكون موصلة. أما إذا مو موصلة إيش حسنة بعد؟ ما ما قمت بالواجب أنت. جبت من المقدمة ما أتت بالواجب. أحا فالإقدام على الظلم متى يكون قبيح إذا تعقبه الظلم. لا إذا تبين أنه ليس هناك ظلم. فدعوى أن الإقدام على الظلم قبيح في حد نفسه مع غمض النظر عن حصول الظلم وعدمه هذا هو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وناقش صاحب الكفاية قدس سره في هذا الوجه أيضاً أو في هذا المدعى فقال بأن القبح لا يدور مدار القطع لأن القبح صفة للفعل واقعاً قطع به أم لم يقطع به. فالقطع وعدمه من العناوين التي لا تغير واقع الفعل. فالظلم قبيح واقعاً قطع به أو لم يقطع به. والعدل حسن قطع به أو لم يقطع به. فلو قطع العبد بأن العدل ظلم لم يخرج العدل عن كونه حسناً. ولو قطع بأن الظلم عدل لم يخرج الظلم عن كونه قبيحاً. فلا يدور القبح والحسن مدار القطع وعدمه إنما يدور مدار نفس العنوان الواقعي.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في القطع الموضوعي قد يكون القطع دخيلاً في الحسن والقبح لا لأن القطع دخيل في ذلك بل لدخله في المصلحة أو المفسدة مثلاً من باب المثال. يجوز الإفتاء إذا كانت الفتوى عن علم. فالعلم هنا أخذ شنو؟ جزءاً في الموضوع وليس على نحو الطريقية بل على نحو الموضوعية. فإذا قطع الفقيه بأن هذه الرواية تامة السند والدلالة جاز له الفتوى على طبقها. فهنا لأن القطع دخيل في الموضوع فهو دخيل في اتصاف هذا الفعل وهو الفتوى على طبق الرواية بكونه حسنة. ولو قطع أو لم يقطع عفواً بتمامية الرواية سنداً ودلالة فأفتى كان الفعل شنو؟ قبيحاً. فهنا تدخل القطع في اتصاف الفعل بالحسن والقبح. لا لأن لا لأن القطع نفسه موجب لتغير العنوان الواقعي من كونه حسناً إلى كونه شنو؟ قبيحاً.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ودعم هذا الكلام سيد المنتقى قدس سره وأفاد بأنه لو كان مركز القبح هو الفعل الخارجي المتجرى به لكان الشخص الذي قصد المعصية وصمم عليها وأصر عليها لكن لما لما شارف المعصية وقع المانع من فعلها قهراً عليه. فهل ها فهل هذا الشخص فعل قبيحاً أم لا؟ فإن قلتم يا أصحاب المسلك الأول أن القبيح هو الفعل المتجرى به فهذا لم يقع منه الفعل. فلازم كلامكم أن تقولوا لا قبح في المقام. وهذا هو بنظره طبعاً وهذا مخالف للوجدان. وإن قلتم بأنه فعل قبيحاً فهو شاهد على مسلك صاحب الكفاية من أن مركز القبح هو القصد لا الفعل المتجرى به. وإنما الفعل المتجرى به مجرد شنو؟ كاشف عن القبيح وهو القصد. ومناقشته متينة لولا أننا نقول بأن الوجدان لا يشهد هنا بالقبح. إنما يشهد باستحقاق الذم فيقول هذا الشخص مستحق للذم. أما أنه مستحق للذم على القصد أو أنه مستحق للذم لأن ذاته انكشف أنها ليست خوش آدمية فهذا مطلب آخر.</w:t>
      </w:r>
    </w:p>
    <w:p>
      <w:pPr>
        <w:spacing w:before="0" w:after="120"/>
      </w:pPr>
      <w:r>
        <w:rPr>
          <w:rFonts w:ascii="Tahoma" w:cs="Tahoma" w:eastAsia="Tahoma" w:hAnsi="Tahoma"/>
          <w:b w:val="false"/>
          <w:bCs w:val="false"/>
          <w:sz w:val="24"/>
          <w:szCs w:val="24"/>
        </w:rPr>
        <w:t xml:space="preserve"/>
      </w:r>
    </w:p>
    <w:p>
      <w:pPr>
        <w:spacing w:before="0" w:after="120"/>
      </w:pPr>
      <w:r>
        <w:t>فتحصل من ذلك أن هذا المسلك وهو دعوى أن الفعل الخارجي المتجرى به قبيح كما ذهب إليه سيدنا قدس سره والسيد الشهيد والشيخ الأستاذ وغيرهم من الأعلام غير تامة . أحسنت مولانا أحسن الله إليكم سيدنا الجليل.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أحسنت مولانا. أحسnet.</w:t>
      </w:r>
    </w:p>
    <w:p>
      <w:pPr>
        <w:spacing w:before="0" w:after="120"/>
      </w:pPr>
      <w:r>
        <w:rPr>
          <w:rFonts w:ascii="Tahoma" w:cs="Tahoma" w:eastAsia="Tahoma" w:hAnsi="Tahoma"/>
          <w:b w:val="false"/>
          <w:bCs w:val="false"/>
          <w:sz w:val="24"/>
          <w:szCs w:val="24"/>
        </w:rPr>
        <w:t xml:space="preserve">[[STT_TEXT_START]]</w:t>
      </w:r>
    </w:p>
    <w:p>
      <w:pPr>
        <w:spacing w:before="0" w:after="120"/>
      </w:pPr>
      <w:r>
        <w:t>الحمد لله رب العالمين، والصلاة والسلام على سيدنا محمد وعلى آله الطيبين الطاهرين. .</w:t>
      </w:r>
    </w:p>
    <w:p>
      <w:pPr>
        <w:spacing w:before="0" w:after="120"/>
      </w:pPr>
      <w:r>
        <w:rPr>
          <w:rFonts w:ascii="Tahoma" w:cs="Tahoma" w:eastAsia="Tahoma" w:hAnsi="Tahoma"/>
          <w:b w:val="false"/>
          <w:bCs w:val="false"/>
          <w:sz w:val="24"/>
          <w:szCs w:val="24"/>
        </w:rPr>
        <w:t xml:space="preserve">المطلب الثاني من مطالب بحث التجري والبحث عن موقع قبح التجري.</w:t>
      </w:r>
    </w:p>
    <w:p>
      <w:pPr>
        <w:spacing w:before="0" w:after="120"/>
      </w:pPr>
      <w:r>
        <w:rPr>
          <w:rFonts w:ascii="Tahoma" w:cs="Tahoma" w:eastAsia="Tahoma" w:hAnsi="Tahoma"/>
          <w:b w:val="false"/>
          <w:bCs w:val="false"/>
          <w:sz w:val="24"/>
          <w:szCs w:val="24"/>
        </w:rPr>
        <w:t xml:space="preserve">فقد ذكر في كلماتهم ثلاثة مسالك:</w:t>
      </w:r>
    </w:p>
    <w:p>
      <w:pPr>
        <w:spacing w:before="0" w:after="120"/>
      </w:pPr>
      <w:r>
        <w:rPr>
          <w:rFonts w:ascii="Tahoma" w:cs="Tahoma" w:eastAsia="Tahoma" w:hAnsi="Tahoma"/>
          <w:b w:val="false"/>
          <w:bCs w:val="false"/>
          <w:sz w:val="24"/>
          <w:szCs w:val="24"/>
        </w:rPr>
        <w:t xml:space="preserve">المسلك الأول: أن الفعل المتجرى به قبيح.</w:t>
      </w:r>
    </w:p>
    <w:p>
      <w:pPr>
        <w:spacing w:before="0" w:after="120"/>
      </w:pPr>
      <w:r>
        <w:rPr>
          <w:rFonts w:ascii="Tahoma" w:cs="Tahoma" w:eastAsia="Tahoma" w:hAnsi="Tahoma"/>
          <w:b w:val="false"/>
          <w:bCs w:val="false"/>
          <w:sz w:val="24"/>
          <w:szCs w:val="24"/>
        </w:rPr>
        <w:t xml:space="preserve">فإذا اعتقد المكلف أن زيداً مسلم، فأهدر دمه مع قطعه بأنه مسلم، أهدر دمه. ثم تبين أنه كافر حربي. فإن هذا الفعل المتجرى به، وهو إهدار الدم، قبيح.</w:t>
      </w:r>
    </w:p>
    <w:p>
      <w:pPr>
        <w:spacing w:before="0" w:after="120"/>
      </w:pPr>
      <w:r>
        <w:rPr>
          <w:rFonts w:ascii="Tahoma" w:cs="Tahoma" w:eastAsia="Tahoma" w:hAnsi="Tahoma"/>
          <w:b w:val="false"/>
          <w:bCs w:val="false"/>
          <w:sz w:val="24"/>
          <w:szCs w:val="24"/>
        </w:rPr>
        <w:t xml:space="preserve">وهذا ما ذهب إليه سيدنا قدس سره، وتبعه في ذلك السيد الشهيد وغيره من تلامذته.</w:t>
      </w:r>
    </w:p>
    <w:p>
      <w:pPr>
        <w:spacing w:before="0" w:after="120"/>
      </w:pPr>
      <w:r>
        <w:rPr>
          <w:rFonts w:ascii="Tahoma" w:cs="Tahoma" w:eastAsia="Tahoma" w:hAnsi="Tahoma"/>
          <w:b w:val="false"/>
          <w:bCs w:val="false"/>
          <w:sz w:val="24"/>
          <w:szCs w:val="24"/>
        </w:rPr>
        <w:t xml:space="preserve">المسلك الثاني: ما ذهب له صاحب الكفاية قدس سره من أن الفعل المتجرى به ليس قبيحاً. لكن القبيح هو القصد. فإن قصد المكلف إهدار الدم مع اعتقاده أن المهجور مسلم، فإن هذا القصد نفسه هو التجري، وليس الفعل. وإنما الفعل مبرز للتجري. وإلا فالتجري من العناوين القصدية، لا من العناوين الخارجية. أي أن التجري عنوان لقصد عصيان المولى ومخالفة أوامره. فهذا القصد هو القبيح، لا الفعل المبرز له قبيح.</w:t>
      </w:r>
    </w:p>
    <w:p>
      <w:pPr>
        <w:spacing w:before="0" w:after="120"/>
      </w:pPr>
      <w:r>
        <w:rPr>
          <w:rFonts w:ascii="Tahoma" w:cs="Tahoma" w:eastAsia="Tahoma" w:hAnsi="Tahoma"/>
          <w:b w:val="false"/>
          <w:bCs w:val="false"/>
          <w:sz w:val="24"/>
          <w:szCs w:val="24"/>
        </w:rPr>
        <w:t xml:space="preserve">وهذا يلتقي مع ما ذكره النائيني قدس سره من أن القبح في التجري فاعلي لا فعلي. فقد أفاد النائيني أن القبح الفاعلي والفعلي قد يجتمعان كما في المعصية. فإنه لو شرب خمراً واقعياً عن عمد، فالفعل قبيح لكونه شرب خمر. والقبح الفاعلي حاصل أيضاً، لأن القبح الفاعلي عبارة عن قصد الجرأة على المولى.</w:t>
      </w:r>
    </w:p>
    <w:p>
      <w:pPr>
        <w:spacing w:before="0" w:after="120"/>
      </w:pPr>
      <w:r>
        <w:rPr>
          <w:rFonts w:ascii="Tahoma" w:cs="Tahoma" w:eastAsia="Tahoma" w:hAnsi="Tahoma"/>
          <w:b w:val="false"/>
          <w:bCs w:val="false"/>
          <w:sz w:val="24"/>
          <w:szCs w:val="24"/>
        </w:rPr>
        <w:t xml:space="preserve">وأما لو فرضنا أنه قتل نفساً محترمة من دون علم، فإن الفعل قبيح، لكن القبح الفاعلي غير موجود. إذ لم يقصد قتل النفس المحترمة. وقد يتحقق القبح الفاعلي دون الفعلي كما في التجري. فإنه إذا أهدر دم كافر حربي معتقداً أنه مسلم، فليس الفعل قبيحاً، لكن الفاعل قبيح، بمعنى أن القصد كان قبيحاً.</w:t>
      </w:r>
    </w:p>
    <w:p>
      <w:pPr>
        <w:spacing w:before="0" w:after="120"/>
      </w:pPr>
      <w:r>
        <w:rPr>
          <w:rFonts w:ascii="Tahoma" w:cs="Tahoma" w:eastAsia="Tahoma" w:hAnsi="Tahoma"/>
          <w:b w:val="false"/>
          <w:bCs w:val="false"/>
          <w:sz w:val="24"/>
          <w:szCs w:val="24"/>
        </w:rPr>
        <w:t xml:space="preserve">إي يعني إنما يتصف بالقبح الجوانحي لا القبح الجوارحي.</w:t>
      </w:r>
    </w:p>
    <w:p>
      <w:pPr>
        <w:spacing w:before="0" w:after="120"/>
      </w:pPr>
      <w:r>
        <w:rPr>
          <w:rFonts w:ascii="Tahoma" w:cs="Tahoma" w:eastAsia="Tahoma" w:hAnsi="Tahoma"/>
          <w:b w:val="false"/>
          <w:bCs w:val="false"/>
          <w:sz w:val="24"/>
          <w:szCs w:val="24"/>
        </w:rPr>
        <w:t xml:space="preserve">المسلك الثالث: ما ذهب إليه الشيخ الأعظم قدس سره، وتبعه السيد الأستاذ دام ظله من أنه لا قبح لا في الفعل ولا في القصد. إنما الفعل المتجرى به كاشف عن سوء السريرة وشقاء النفس، وأن هذا شقي، إذ لولا شقاؤه لما وقع منه التجري. وإلا فلا قبح في البين أصلاً.</w:t>
      </w:r>
    </w:p>
    <w:p>
      <w:pPr>
        <w:spacing w:before="0" w:after="120"/>
      </w:pPr>
      <w:r>
        <w:rPr>
          <w:rFonts w:ascii="Tahoma" w:cs="Tahoma" w:eastAsia="Tahoma" w:hAnsi="Tahoma"/>
          <w:b w:val="false"/>
          <w:bCs w:val="false"/>
          <w:sz w:val="24"/>
          <w:szCs w:val="24"/>
        </w:rPr>
        <w:t xml:space="preserve">هذه هي المسالك الثلاثة.</w:t>
      </w:r>
    </w:p>
    <w:p>
      <w:pPr>
        <w:spacing w:before="0" w:after="120"/>
      </w:pPr>
      <w:r>
        <w:rPr>
          <w:rFonts w:ascii="Tahoma" w:cs="Tahoma" w:eastAsia="Tahoma" w:hAnsi="Tahoma"/>
          <w:b w:val="false"/>
          <w:bCs w:val="false"/>
          <w:sz w:val="24"/>
          <w:szCs w:val="24"/>
        </w:rPr>
        <w:t xml:space="preserve">واستدل على المسلك الأول، وهو أن الفعل المتجرى به قبيح، بما في كلمات سيدنا قدس سره والسيد الشهيد بوجوه ثلاثة.</w:t>
      </w:r>
    </w:p>
    <w:p>
      <w:pPr>
        <w:spacing w:before="0" w:after="120"/>
      </w:pPr>
      <w:r>
        <w:rPr>
          <w:rFonts w:ascii="Tahoma" w:cs="Tahoma" w:eastAsia="Tahoma" w:hAnsi="Tahoma"/>
          <w:b w:val="false"/>
          <w:bCs w:val="false"/>
          <w:sz w:val="24"/>
          <w:szCs w:val="24"/>
        </w:rPr>
        <w:t xml:space="preserve">الأول: أن التجري بإهدار دم يعتقد أنه دم مسلم هتك لمقام الباري عز وجل. فنفس الفعل الخارجي شنو؟ هتك، والهتك قبيح. وإن لم يكن هتكاً، فهو ظلم لله عز وجل.</w:t>
      </w:r>
    </w:p>
    <w:p>
      <w:pPr>
        <w:spacing w:before="0" w:after="120"/>
      </w:pPr>
      <w:r>
        <w:rPr>
          <w:rFonts w:ascii="Tahoma" w:cs="Tahoma" w:eastAsia="Tahoma" w:hAnsi="Tahoma"/>
          <w:b w:val="false"/>
          <w:bCs w:val="false"/>
          <w:sz w:val="24"/>
          <w:szCs w:val="24"/>
        </w:rPr>
        <w:t xml:space="preserve">وأجاب عن ذلك السيد الإمام قدس سره بأننا لا نسلم الهتك في المعصية فضلاً عن التجري. فإن عنوان الهتك إما قصدي أو انطباقي. فإن كان عنوان الهتك قصدياً، فمن الواضح أن العاصي لا يقصد هتك حرمة المولى. وإنما الغالب في العصاة غلبة الشهوة والشقوة. وإن كان الهتك انطباقياً، لا يدور مدار القصد، كما لو صعد إنسان بحذائه الوسخ على قبر المعصوم بحجة التبرك به مثلاً. فإن هذا وإن لم يقصد الهتك، لكن الهتك حصل عرفاً. فمن الواضح أيضاً أنه ليست جميع المعاصي مصداقاً عرفياً شنو؟ للهتك. فلو قال الولد لأبيه أف، فإنه وإن كان معصية شرعية، لكن العرف لا يراه ممن هتك حرمة المولى عز وجل. فإذا دعوى أن التجري هتك، مع أن التجري ليس أسوأ حالاً من المعصية، في غير محله، إذ لم يثبت الهتك في المعصية فضلاً عن التجري.</w:t>
      </w:r>
    </w:p>
    <w:p>
      <w:pPr>
        <w:spacing w:before="0" w:after="120"/>
      </w:pPr>
      <w:r>
        <w:rPr>
          <w:rFonts w:ascii="Tahoma" w:cs="Tahoma" w:eastAsia="Tahoma" w:hAnsi="Tahoma"/>
          <w:b w:val="false"/>
          <w:bCs w:val="false"/>
          <w:sz w:val="24"/>
          <w:szCs w:val="24"/>
        </w:rPr>
        <w:t xml:space="preserve">وإن قيل بأنه ظلم إن لم يكن هتكاً، فالجواب أن الظلم سلب ذي الحق حقه. فلا بد من أن نثبت في رتبة سابقة أن لله عز وجل حق أن لا يتجرأ، كما له حق أن لا يعصى. فلا بد أن نثبت في رتبة سابقة أن من حقه أن لا يتجرأ. وهذا هو أول النزاع.</w:t>
      </w:r>
    </w:p>
    <w:p>
      <w:pPr>
        <w:spacing w:before="0" w:after="120"/>
      </w:pPr>
      <w:r>
        <w:rPr>
          <w:rFonts w:ascii="Tahoma" w:cs="Tahoma" w:eastAsia="Tahoma" w:hAnsi="Tahoma"/>
          <w:b w:val="false"/>
          <w:bCs w:val="false"/>
          <w:sz w:val="24"/>
          <w:szCs w:val="24"/>
        </w:rPr>
        <w:t xml:space="preserve">هذا هو الوجه الأول وما فيه.</w:t>
      </w:r>
    </w:p>
    <w:p>
      <w:pPr>
        <w:spacing w:before="0" w:after="120"/>
      </w:pPr>
      <w:r>
        <w:rPr>
          <w:rFonts w:ascii="Tahoma" w:cs="Tahoma" w:eastAsia="Tahoma" w:hAnsi="Tahoma"/>
          <w:b w:val="false"/>
          <w:bCs w:val="false"/>
          <w:sz w:val="24"/>
          <w:szCs w:val="24"/>
        </w:rPr>
        <w:t xml:space="preserve">الوجه الثاني: أن التجري، أي الفعل المتجرى به، إن لم يكن هتكاً ولا ظلماً، فهو خروج عن أدب العبودية. والخروج عن أدب العبودية قبيح. فإن حق الطاعة إنما ثبت من باب أدب العبودية. أي مقتضى أدب العبودية أن يطاع عز وجل. فإذا كان حق الطاعة منشأه شنو؟ أدب العبودية. لا أن حق الطاعة هو الأصيل. بل الأصيل هو أن مقتضى العبودية التأدب مع المولى. ويتفرع على ذلك حق الطاعة، حيث إن الطاعة أدب. فلما كان المدار على الأدب، أدب العبودية، والأدب متقوم بالقطع، وليس متقوماً بالواقع. لأن الأدب إنما يصدر من العبد عن شنو؟ عن التفات. فالأدب يدور مدار القطع، لا مدار الواقع. فلذلك لو خالف الإنسان تكليفاً واقعياً وهو لا يدري، كما لو شرب خمراً وهو يعتقد أنه شنو؟ سكنجبين، ثم تبين أنه خمر، فإن هذا لم يخرج عن أدب العبودية. بينما إذا قطع أنه خمر، ومع ذلك شربه، فتبين أنه سكنجبين، فقد خرج عن أدب العبودية، وإن لم يخالف التكليف الواقعي.</w:t>
      </w:r>
    </w:p>
    <w:p>
      <w:pPr>
        <w:spacing w:before="0" w:after="120"/>
      </w:pPr>
      <w:r>
        <w:rPr>
          <w:rFonts w:ascii="Tahoma" w:cs="Tahoma" w:eastAsia="Tahoma" w:hAnsi="Tahoma"/>
          <w:b w:val="false"/>
          <w:bCs w:val="false"/>
          <w:sz w:val="24"/>
          <w:szCs w:val="24"/>
        </w:rPr>
        <w:t xml:space="preserve">والجواب عن ذلك: لا إشكال في أن قصد المعصية لا يجتمع مع أدب العبودية. إنما الكلام في أن هذا التنافي بين قصد المعصية وبين أدب العبودية، هل يوجب قبح الفعل، أو يوجب قبح القصد، أو يوجب الكشف عن خبث السريرة؟ هذا أعم. فالاستدلال بهذا الوجه على أن الفعل المتجرى به قبيح، من باب الاستدلال بالأعم. فلا مضايقة لدينا في أن من أقدم على المعصية فليس مؤدباً. ولكن هذا لا يعني أن الفعل الذي صدر منه هو القبيح، أو القصد الذي قصده هو القبيح، أو أن الذات تبين أنها ذات غير مؤدبة. فمثل هذا الاستدلال ليس كافياً في إثبات الدعوى.</w:t>
      </w:r>
    </w:p>
    <w:p>
      <w:pPr>
        <w:spacing w:before="0" w:after="120"/>
      </w:pPr>
      <w:r>
        <w:rPr>
          <w:rFonts w:ascii="Tahoma" w:cs="Tahoma" w:eastAsia="Tahoma" w:hAnsi="Tahoma"/>
          <w:b w:val="false"/>
          <w:bCs w:val="false"/>
          <w:sz w:val="24"/>
          <w:szCs w:val="24"/>
        </w:rPr>
        <w:t xml:space="preserve">الوجه الثالث: ما ذكره السيد الشهيد قدس سره من أن القبح قسمان: قبح بالعنوان الأولي، وقبح بالعنوان الثانوي. فالقبح بالعنوان الأولي هو الظلم، وإن الظلم قبيح بالعنوان الأولي. فمثلاً إتلاف مال الغير ظلم قبيح بالعنوان الأولي. أما هناك قبح بالعنوان الثانوي، وهو الإقدام على الظلم، وإن لم يقع في الظلم. فإن الإقدام والإصرار على فعل الظلم قبيح بالعنوان الثانوي. فهذا يدور مدار شنو؟ ما يقطع به بعد. فإذا قطع بأن إتلاف هذا المال ظلم، لأن هذا المال مال زيد، فأقدم على الإتلاف، فانكشف أنه ماله هو مو مال زيد. فإن الإقدام على الظلم قبيح بالعنوان الثانوي، وإن لم يكن قبيحاً بالعنوان الأولي، لأنه ليس ظلماً في الواقع.</w:t>
      </w:r>
    </w:p>
    <w:p>
      <w:pPr>
        <w:spacing w:before="0" w:after="120"/>
      </w:pPr>
      <w:r>
        <w:rPr>
          <w:rFonts w:ascii="Tahoma" w:cs="Tahoma" w:eastAsia="Tahoma" w:hAnsi="Tahoma"/>
          <w:b w:val="false"/>
          <w:bCs w:val="false"/>
          <w:sz w:val="24"/>
          <w:szCs w:val="24"/>
        </w:rPr>
        <w:t xml:space="preserve">وهذا كما ترى. فإننا لم نجد شاهداً وجدانياً على أن الإقدام على الظلم بما هو شنو؟ قبيح. وإنما قبح الإقدام على الظلم قبح طريقي، لأن الظلم قبيح في نفسه، كان الإقدام عليه شنو؟ قبيح. ولذلك لو أقدم على الظلم يذم، لا لموضوعية في الإقدام، بل لأن المآل هو الظلم. أما لو لم يكن هناك ظلم، فقل أقدم على القبيح، لا أن الإقدام قبيح.</w:t>
      </w:r>
    </w:p>
    <w:p>
      <w:pPr>
        <w:spacing w:before="0" w:after="120"/>
      </w:pPr>
      <w:r>
        <w:rPr>
          <w:rFonts w:ascii="Tahoma" w:cs="Tahoma" w:eastAsia="Tahoma" w:hAnsi="Tahoma"/>
          <w:b w:val="false"/>
          <w:bCs w:val="false"/>
          <w:sz w:val="24"/>
          <w:szCs w:val="24"/>
        </w:rPr>
        <w:t xml:space="preserve">فتحصل مما ذكر أنه لم يقم شاهد على أن نفس الفعل شنو؟ المتجرى به شنو؟ قبيح.</w:t>
      </w:r>
    </w:p>
    <w:p>
      <w:pPr>
        <w:spacing w:before="0" w:after="120"/>
      </w:pPr>
      <w:r>
        <w:rPr>
          <w:rFonts w:ascii="Tahoma" w:cs="Tahoma" w:eastAsia="Tahoma" w:hAnsi="Tahoma"/>
          <w:b w:val="false"/>
          <w:bCs w:val="false"/>
          <w:sz w:val="24"/>
          <w:szCs w:val="24"/>
        </w:rPr>
        <w:t xml:space="preserve">وناقش صاحب الكفاية قدس سره في هذا الوجه أيضاً، أو في هذا المدعى، فقال بأن القبح لا يدور مدار القطع، لأن القبح صفة للفعل واقعاً، قطع به أم لم يقطع به. فالقطع وعدمه من العناوين التي لا تغير واقع الفعل. فالظلم قبيح واقعاً، قطع به أو لم يقطع به. والعدل حسن، قطع به أو لم يقطع به. فلو قطع العبد بأن العدل ظلم، لم يخرج العدل عن كونه حسناً. ولو قطع بأن الظلم عدل، لم يخرج الظلم عن كونه قبيحاً. فلا يدور القبح والحسن مدار القطع وعدمه، إنما يدور مدار نفس العنوان الواقعي.</w:t>
      </w:r>
    </w:p>
    <w:p>
      <w:pPr>
        <w:spacing w:before="0" w:after="120"/>
      </w:pPr>
      <w:r>
        <w:rPr>
          <w:rFonts w:ascii="Tahoma" w:cs="Tahoma" w:eastAsia="Tahoma" w:hAnsi="Tahoma"/>
          <w:b w:val="false"/>
          <w:bCs w:val="false"/>
          <w:sz w:val="24"/>
          <w:szCs w:val="24"/>
        </w:rPr>
        <w:t xml:space="preserve">نعم في القطع الموضوعي قد يكون القطع دخيلاً في الحسن والقبح، لا لأن القطع دخيل في ذلك، بل لدخله في المصلحة أو المفسدة، مثلاً من باب المثال. يجوز الإفتاء إذا كانت الفتوى عن علم. فالعلم هنا أخذ شنو؟ جزءاً في الموضوع، وليس على نحو الطريقية، بل على نحو الموضوعية. فإذا قطع الفقيه بأن هذه الرواية تامة السند والدلالة، جاز له الفتوى على طبقها. فهنا لأن القطع دخيل في الموضوع، فهو دخيل في اتصاف هذا الفعل، وهو الفتوى على طبق الرواية، بكونه حسنة. ولو قطع أو لم يقطع عفواً بتمامية الرواية سنداً ودلالة، فأفتى، كان الفعل شنو؟ قبيحاً. فهنا تدخل القطع في اتصاف الفعل بالحسن والقبح. لا لأن لا لأن القطع نفسه موجب لتغير العنوان الواقعي من كونه حسناً إلى كونه شنو؟ قبيحاً.</w:t>
      </w:r>
    </w:p>
    <w:p>
      <w:pPr>
        <w:spacing w:before="0" w:after="120"/>
      </w:pPr>
      <w:r>
        <w:rPr>
          <w:rFonts w:ascii="Tahoma" w:cs="Tahoma" w:eastAsia="Tahoma" w:hAnsi="Tahoma"/>
          <w:b w:val="false"/>
          <w:bCs w:val="false"/>
          <w:sz w:val="24"/>
          <w:szCs w:val="24"/>
        </w:rPr>
        <w:t xml:space="preserve">ودعم هذا الكلام سيد المنتقى قدس سره وأفاد بأنه لو كان مركز القبح هو الفعل الخارجي المتجرى به، لكان الشخص الذي قصد المعصية وصمم عليها وأصر عليها، لكن لما لما شارف المعصية، وقع المانع من فعلها قهراً عليه. فهل فهل هذا الشخص فعل قبيحاً أم لا؟ فإن قلتم يا أصحاب المسلك الأول أن القبيح هو الفعل المتجرى به، فهذا لم يقع منه الفعل. فلازم كلامكم أن تقولوا لا قبح في المقام. وهذا هو بنظره طبعاً. وهذا مخالف للوجدان. وإن قلتم بأنه فعل قبيحاً، فهو شاهد على مسلك صاحب الكفاية من أن مركز القبح هو القصد، لا الفعل المتجرى به. وإنما الفعل المتجرى به مجرد شنو؟ كاشف عن القبيح وهو القصد.</w:t>
      </w:r>
    </w:p>
    <w:p>
      <w:pPr>
        <w:spacing w:before="0" w:after="120"/>
      </w:pPr>
      <w:r>
        <w:rPr>
          <w:rFonts w:ascii="Tahoma" w:cs="Tahoma" w:eastAsia="Tahoma" w:hAnsi="Tahoma"/>
          <w:b w:val="false"/>
          <w:bCs w:val="false"/>
          <w:sz w:val="24"/>
          <w:szCs w:val="24"/>
        </w:rPr>
        <w:t xml:space="preserve">وهنا مناقشته متينة لولا أننا نقول بأن الوجدان لا يشهد هنا بالقبح. إنما يشهد باستحقاق الذم، فيقول هذا الشخص مستحق للذم. أما أنه مستحق للذم على القصد، أو أنه مستحق للذم لأن ذاته انكشف أنها ليست خوش آدمية، فهذا مطلب آخر.</w:t>
      </w:r>
    </w:p>
    <w:p>
      <w:pPr>
        <w:spacing w:before="0" w:after="120"/>
      </w:pPr>
      <w:r>
        <w:t>فتحصل من ذلك أن هذا المسلك، وهو دعوى أن الفعل الخارجي المتجرى به قبيح، كما ذهب إليه سيدنا قدس سره والسيد الشهيد والشيخ الأستاذ وغيرهم من الأعلام، غير تامة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2026-09-11T12:33:41.325Z</dcterms:created>
  <dcterms:modified xsi:type="dcterms:W3CDTF">2026-09-11T12:33:41.325Z</dcterms:modified>
</cp:coreProperties>
</file>

<file path=docProps/custom.xml><?xml version="1.0" encoding="utf-8"?>
<Properties xmlns="http://schemas.openxmlformats.org/officeDocument/2006/custom-properties" xmlns:vt="http://schemas.openxmlformats.org/officeDocument/2006/docPropsVTypes"/>
</file>