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14</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تأليف الشرطيات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بيان أن القضية الشرطية تنقسم باعتبار أجزائها وطبيعتها إلى متصلة ومنفصلة، وتتألف الشرطيات من قضايا حملية أو شرطية، مع استعراض الأقسام المتعددة لتأليف الشرطيات من حيث اتحاد أطرافها أو اختلافها (بين الاتصال والانفصال)، مع توضيح كيفية انحلالها وتباين أشكالها وأنواعها المنطقية.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القضايا المنحرفة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توضيح مفهوم الانحراف في القضايا، وأنه خروج عن الوضع الطبيعي والمنطقي، وتطبيق ذلك على القضية الحملية باقتران السور بالمحمول بدلاً من الموضوع، وتبيان السر في لزوم اقتران السور بالموضوع لكونه الحاكي عن كمية الأفراد، مع ذكر الأمثلة والتطبيقات على ذلك.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