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خلاصة الدرس 20</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sz w:val="36"/>
          <w:szCs w:val="36"/>
          <w:rtl w:val="1"/>
          <w:lang w:val="ar-SA" w:bidi="ar-SA"/>
        </w:rPr>
        <w:t>خلاصة مباحث عكس النقيض وأدلته</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يدور الدرس حول إثبات أحكام عكس النقيض للمقدمات السالبتين الكلية والجزئية، مع بيان كيفية انعكاسهما بالطريقتين (الموافق والمخالف)، ومدى صحة أو بطلان كل احتمال استنادًا إلى قواعد الكيف والكم وجهات النسبة بين الموضوع والمحمول ونقيضيهما.</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تأكد الدرس من أن السالبة الكلية والجزئية تنعكسان بعكس النقيض الموافق إلى سالبة جزئية، بينما لا تنعكسان إلى سالبة كلية، مستدلاً على ذلك بالمقدمات الثلاث المتعلقة بنسب التباين الكلي والتباين الجزئي بين نقيضي المتباينين كالإنسان والفرس.</w:t>
      </w:r>
    </w:p>
    <w:p>
      <w:pPr>
        <w:bidi w:val="1"/>
        <w:jc w:val="right"/>
        <w:rPr>
          <w:rFonts w:ascii="Arial" w:hAnsi="Arial" w:eastAsia="Arial" w:cs="Arial"/>
          <w:sz w:val="32"/>
          <w:szCs w:val="32"/>
          <w:rtl w:val="1"/>
          <w:lang w:val="ar-SA" w:bidi="ar-SA"/>
        </w:rPr>
      </w:pPr>
      <w:r>
        <w:rPr>
          <w:rFonts w:ascii="Arial" w:hAnsi="Arial" w:eastAsia="Arial" w:cs="Arial"/>
          <w:sz w:val="32"/>
          <w:szCs w:val="32"/>
          <w:rtl w:val="1"/>
          <w:lang w:val="ar-SA" w:bidi="ar-SA"/>
        </w:rPr>
        <w:t>كما أوضح المحاضر الفرق بين السلب الكلي في التباين الكلي والسلب الجزئي في العموم والخصوص من وجه، ومقصد البرهان في تفنيد الاحتمالات الباطلة والاعتماد على الأصول الصادقة لبناء النتائج المنطقية بدقة متناهية.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